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BB97" w14:textId="77777777" w:rsidR="0027644D" w:rsidRPr="00EE0AE9" w:rsidRDefault="0027644D" w:rsidP="0027644D">
      <w:pPr>
        <w:tabs>
          <w:tab w:val="center" w:pos="4252"/>
          <w:tab w:val="right" w:pos="8504"/>
        </w:tabs>
        <w:spacing w:after="0" w:line="276" w:lineRule="auto"/>
        <w:ind w:right="213"/>
        <w:contextualSpacing/>
        <w:jc w:val="center"/>
        <w:rPr>
          <w:rFonts w:ascii="NewsGotT" w:hAnsi="NewsGotT" w:cs="NewsGotT"/>
          <w:b/>
          <w:lang w:eastAsia="pt-PT"/>
        </w:rPr>
      </w:pPr>
      <w:r w:rsidRPr="00EE0AE9">
        <w:rPr>
          <w:rFonts w:ascii="NewsGotT" w:hAnsi="NewsGotT"/>
          <w:noProof/>
          <w:sz w:val="20"/>
          <w:lang w:eastAsia="pt-PT"/>
        </w:rPr>
        <w:drawing>
          <wp:inline distT="0" distB="0" distL="0" distR="0" wp14:anchorId="57A4618A" wp14:editId="583ED8E7">
            <wp:extent cx="1304925" cy="1019175"/>
            <wp:effectExtent l="0" t="0" r="9525" b="9525"/>
            <wp:docPr id="59" name="Picture 44" desc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4925" cy="1019175"/>
                    </a:xfrm>
                    <a:prstGeom prst="rect">
                      <a:avLst/>
                    </a:prstGeom>
                    <a:noFill/>
                    <a:ln>
                      <a:noFill/>
                    </a:ln>
                  </pic:spPr>
                </pic:pic>
              </a:graphicData>
            </a:graphic>
          </wp:inline>
        </w:drawing>
      </w:r>
    </w:p>
    <w:p w14:paraId="685278AE" w14:textId="77777777" w:rsidR="0027644D" w:rsidRPr="00EE0AE9" w:rsidRDefault="0027644D" w:rsidP="0027644D">
      <w:pPr>
        <w:tabs>
          <w:tab w:val="center" w:pos="4252"/>
          <w:tab w:val="right" w:pos="8504"/>
        </w:tabs>
        <w:spacing w:after="0" w:line="276" w:lineRule="auto"/>
        <w:ind w:right="213"/>
        <w:contextualSpacing/>
        <w:jc w:val="center"/>
        <w:rPr>
          <w:rFonts w:ascii="NewsGotT" w:hAnsi="NewsGotT" w:cs="NewsGotT"/>
          <w:b/>
          <w:lang w:eastAsia="pt-PT"/>
        </w:rPr>
      </w:pPr>
    </w:p>
    <w:p w14:paraId="3EEC898C" w14:textId="77777777" w:rsidR="0027644D" w:rsidRPr="00EE0AE9" w:rsidRDefault="0027644D" w:rsidP="0027644D">
      <w:pPr>
        <w:tabs>
          <w:tab w:val="center" w:pos="4252"/>
          <w:tab w:val="right" w:pos="8504"/>
        </w:tabs>
        <w:spacing w:after="0" w:line="276" w:lineRule="auto"/>
        <w:ind w:right="213"/>
        <w:contextualSpacing/>
        <w:jc w:val="center"/>
        <w:rPr>
          <w:rFonts w:ascii="NewsGotT" w:hAnsi="NewsGotT" w:cs="NewsGotT"/>
          <w:b/>
          <w:lang w:eastAsia="pt-PT"/>
        </w:rPr>
      </w:pPr>
      <w:r w:rsidRPr="00EE0AE9">
        <w:rPr>
          <w:rFonts w:ascii="NewsGotT" w:hAnsi="NewsGotT" w:cs="NewsGotT"/>
          <w:b/>
          <w:lang w:eastAsia="pt-PT"/>
        </w:rPr>
        <w:t>CONVITE À APRESENTAÇÃO DE PROPOSTA</w:t>
      </w:r>
    </w:p>
    <w:p w14:paraId="13658DA3" w14:textId="77777777" w:rsidR="0027644D" w:rsidRPr="00EE0AE9" w:rsidRDefault="0027644D" w:rsidP="0027644D">
      <w:pPr>
        <w:tabs>
          <w:tab w:val="center" w:pos="4252"/>
          <w:tab w:val="right" w:pos="8504"/>
        </w:tabs>
        <w:spacing w:after="0" w:line="276" w:lineRule="auto"/>
        <w:ind w:right="213"/>
        <w:contextualSpacing/>
        <w:jc w:val="center"/>
        <w:rPr>
          <w:rFonts w:ascii="NewsGotT" w:hAnsi="NewsGotT" w:cs="NewsGotT"/>
          <w:b/>
          <w:lang w:eastAsia="pt-PT"/>
        </w:rPr>
      </w:pPr>
    </w:p>
    <w:p w14:paraId="39F76E85" w14:textId="77777777" w:rsidR="0027644D" w:rsidRPr="00EE0AE9" w:rsidRDefault="0027644D" w:rsidP="0027644D">
      <w:pPr>
        <w:spacing w:after="0" w:line="276" w:lineRule="auto"/>
        <w:ind w:right="71"/>
        <w:jc w:val="center"/>
        <w:rPr>
          <w:rFonts w:ascii="NewsGotT" w:hAnsi="NewsGotT" w:cs="NewsGotT"/>
        </w:rPr>
      </w:pPr>
      <w:r w:rsidRPr="00EE0AE9">
        <w:rPr>
          <w:rFonts w:ascii="NewsGotT" w:hAnsi="NewsGotT" w:cs="NewsGotT"/>
          <w:b/>
        </w:rPr>
        <w:t xml:space="preserve">PROCEDIMENTO DE AJUSTE DIRETO </w:t>
      </w:r>
      <w:r w:rsidRPr="00EE0AE9">
        <w:rPr>
          <w:rFonts w:ascii="NewsGotT" w:hAnsi="NewsGotT" w:cs="NewsGotT"/>
          <w:b/>
          <w:highlight w:val="lightGray"/>
        </w:rPr>
        <w:t xml:space="preserve">REFª </w:t>
      </w:r>
      <w:r w:rsidRPr="00EE0AE9">
        <w:rPr>
          <w:rFonts w:ascii="NewsGotT" w:hAnsi="NewsGotT"/>
          <w:b/>
          <w:highlight w:val="lightGray"/>
        </w:rPr>
        <w:t>___-__/20__</w:t>
      </w:r>
      <w:r w:rsidRPr="00EE0AE9">
        <w:rPr>
          <w:rFonts w:ascii="NewsGotT" w:hAnsi="NewsGotT"/>
          <w:b/>
        </w:rPr>
        <w:t xml:space="preserve"> PARA </w:t>
      </w:r>
      <w:r w:rsidRPr="00EE0AE9">
        <w:rPr>
          <w:rFonts w:ascii="NewsGotT" w:hAnsi="NewsGotT"/>
          <w:b/>
          <w:highlight w:val="lightGray"/>
        </w:rPr>
        <w:t>[identificar objeto]</w:t>
      </w:r>
    </w:p>
    <w:p w14:paraId="6457C905" w14:textId="77777777" w:rsidR="0027644D" w:rsidRPr="00EE0AE9" w:rsidRDefault="0027644D" w:rsidP="0027644D">
      <w:pPr>
        <w:tabs>
          <w:tab w:val="center" w:pos="4252"/>
          <w:tab w:val="right" w:pos="8504"/>
        </w:tabs>
        <w:spacing w:after="0" w:line="276" w:lineRule="auto"/>
        <w:ind w:right="213"/>
        <w:rPr>
          <w:rFonts w:ascii="NewsGotT" w:hAnsi="NewsGotT" w:cs="NewsGotT"/>
          <w:lang w:eastAsia="pt-PT"/>
        </w:rPr>
      </w:pPr>
    </w:p>
    <w:p w14:paraId="16C7A374" w14:textId="77777777" w:rsidR="0027644D" w:rsidRPr="00EE0AE9" w:rsidRDefault="0027644D" w:rsidP="0027644D">
      <w:pPr>
        <w:numPr>
          <w:ilvl w:val="0"/>
          <w:numId w:val="5"/>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cs="NewsGotT"/>
          <w:b/>
          <w:sz w:val="20"/>
          <w:lang w:eastAsia="pt-PT"/>
        </w:rPr>
        <w:t>Entidade pública adjudicante</w:t>
      </w:r>
    </w:p>
    <w:p w14:paraId="03D65C6E"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Designação: Universidade do Minho</w:t>
      </w:r>
    </w:p>
    <w:p w14:paraId="51A49FC8"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NIPC: 502011378</w:t>
      </w:r>
    </w:p>
    <w:p w14:paraId="3392A1DC"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 xml:space="preserve">Serviço: </w:t>
      </w:r>
      <w:r w:rsidRPr="00EE0AE9">
        <w:rPr>
          <w:rFonts w:ascii="NewsGotT" w:hAnsi="NewsGotT" w:cs="NewsGotT-Reg"/>
          <w:sz w:val="20"/>
          <w:szCs w:val="20"/>
          <w:highlight w:val="lightGray"/>
        </w:rPr>
        <w:t>________________</w:t>
      </w:r>
    </w:p>
    <w:p w14:paraId="1B584579" w14:textId="77777777" w:rsidR="0027644D" w:rsidRPr="00EE0AE9" w:rsidRDefault="0027644D" w:rsidP="0027644D">
      <w:pPr>
        <w:spacing w:after="0" w:line="276" w:lineRule="auto"/>
        <w:ind w:right="141"/>
        <w:rPr>
          <w:rFonts w:ascii="NewsGotT" w:hAnsi="NewsGotT" w:cs="NewsGotT-Reg"/>
          <w:sz w:val="20"/>
          <w:szCs w:val="20"/>
        </w:rPr>
      </w:pPr>
      <w:r w:rsidRPr="00EE0AE9">
        <w:rPr>
          <w:rFonts w:ascii="NewsGotT" w:hAnsi="NewsGotT" w:cs="NewsGotT-Reg"/>
          <w:sz w:val="20"/>
          <w:szCs w:val="20"/>
        </w:rPr>
        <w:t xml:space="preserve">Morada: </w:t>
      </w:r>
      <w:r w:rsidRPr="00EE0AE9">
        <w:rPr>
          <w:rFonts w:ascii="NewsGotT" w:hAnsi="NewsGotT" w:cs="NewsGotT-Reg"/>
          <w:sz w:val="20"/>
          <w:szCs w:val="20"/>
          <w:highlight w:val="lightGray"/>
        </w:rPr>
        <w:t>________________</w:t>
      </w:r>
    </w:p>
    <w:p w14:paraId="246DF08D"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 xml:space="preserve">Telef.: </w:t>
      </w:r>
      <w:r w:rsidRPr="00EE0AE9">
        <w:rPr>
          <w:rFonts w:ascii="NewsGotT" w:hAnsi="NewsGotT" w:cs="NewsGotT-Reg"/>
          <w:sz w:val="20"/>
          <w:szCs w:val="20"/>
          <w:highlight w:val="lightGray"/>
          <w:lang w:val="fr-FR"/>
        </w:rPr>
        <w:t>________________</w:t>
      </w:r>
    </w:p>
    <w:p w14:paraId="28B2108A" w14:textId="77777777" w:rsidR="0027644D" w:rsidRPr="00EE0AE9" w:rsidRDefault="0027644D" w:rsidP="0027644D">
      <w:pPr>
        <w:spacing w:after="0" w:line="276" w:lineRule="auto"/>
        <w:rPr>
          <w:rFonts w:ascii="NewsGotT" w:hAnsi="NewsGotT" w:cs="NewsGotT-Reg"/>
        </w:rPr>
      </w:pPr>
      <w:r w:rsidRPr="00EE0AE9">
        <w:rPr>
          <w:rFonts w:ascii="NewsGotT" w:hAnsi="NewsGotT" w:cs="NewsGotT-Reg"/>
          <w:sz w:val="20"/>
          <w:szCs w:val="20"/>
        </w:rPr>
        <w:t xml:space="preserve">E-mail: </w:t>
      </w:r>
      <w:hyperlink r:id="rId7" w:history="1">
        <w:r w:rsidRPr="00EE0AE9">
          <w:rPr>
            <w:rFonts w:ascii="NewsGotT" w:hAnsi="NewsGotT" w:cs="NewsGotT-Reg"/>
            <w:highlight w:val="lightGray"/>
          </w:rPr>
          <w:t>________________</w:t>
        </w:r>
      </w:hyperlink>
    </w:p>
    <w:p w14:paraId="52314444" w14:textId="77777777" w:rsidR="0027644D" w:rsidRPr="00EE0AE9" w:rsidRDefault="0027644D" w:rsidP="0027644D">
      <w:pPr>
        <w:spacing w:after="0" w:line="276" w:lineRule="auto"/>
        <w:rPr>
          <w:rFonts w:ascii="NewsGotT" w:hAnsi="NewsGotT" w:cs="NewsGotT-Reg"/>
          <w:sz w:val="20"/>
          <w:szCs w:val="20"/>
        </w:rPr>
      </w:pPr>
    </w:p>
    <w:p w14:paraId="4714BF24" w14:textId="77777777" w:rsidR="0027644D" w:rsidRPr="00EE0AE9" w:rsidRDefault="0027644D" w:rsidP="0027644D">
      <w:pPr>
        <w:numPr>
          <w:ilvl w:val="0"/>
          <w:numId w:val="5"/>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Objeto do contrato</w:t>
      </w:r>
    </w:p>
    <w:p w14:paraId="01F5AB23" w14:textId="77777777" w:rsidR="0027644D" w:rsidRPr="00EE0AE9" w:rsidRDefault="0027644D" w:rsidP="0027644D">
      <w:pPr>
        <w:tabs>
          <w:tab w:val="left" w:pos="244"/>
        </w:tabs>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 xml:space="preserve">2.1. O contrato a celebrar visa a aquisição </w:t>
      </w:r>
      <w:r w:rsidRPr="00EE0AE9">
        <w:rPr>
          <w:rFonts w:ascii="NewsGotT" w:hAnsi="NewsGotT" w:cs="NewsGotT"/>
          <w:i/>
          <w:sz w:val="20"/>
          <w:highlight w:val="lightGray"/>
        </w:rPr>
        <w:t>[identificar objeto]</w:t>
      </w:r>
      <w:r w:rsidRPr="00EE0AE9">
        <w:rPr>
          <w:rFonts w:ascii="NewsGotT" w:hAnsi="NewsGotT" w:cs="NewsGotT"/>
          <w:sz w:val="20"/>
        </w:rPr>
        <w:t xml:space="preserve">, </w:t>
      </w:r>
      <w:r w:rsidRPr="00EE0AE9">
        <w:rPr>
          <w:rFonts w:ascii="NewsGotT" w:hAnsi="NewsGotT" w:cs="NewsGotT-Reg"/>
          <w:sz w:val="20"/>
          <w:szCs w:val="20"/>
        </w:rPr>
        <w:t>em conformidade com o estabelecido no caderno de encargos, que se anexa.</w:t>
      </w:r>
    </w:p>
    <w:p w14:paraId="48B31623" w14:textId="77777777" w:rsidR="0027644D" w:rsidRPr="00EE0AE9" w:rsidRDefault="0027644D" w:rsidP="0027644D">
      <w:pPr>
        <w:tabs>
          <w:tab w:val="center" w:pos="4252"/>
          <w:tab w:val="right" w:pos="8504"/>
        </w:tabs>
        <w:spacing w:after="0" w:line="276" w:lineRule="auto"/>
        <w:rPr>
          <w:rFonts w:ascii="NewsGotT" w:hAnsi="NewsGotT" w:cs="NewsGotT-Reg"/>
          <w:sz w:val="20"/>
        </w:rPr>
      </w:pPr>
      <w:r w:rsidRPr="00EE0AE9">
        <w:rPr>
          <w:rFonts w:ascii="NewsGotT" w:hAnsi="NewsGotT" w:cs="NewsGotT-Reg"/>
          <w:sz w:val="20"/>
        </w:rPr>
        <w:t xml:space="preserve">2.2. Tipo de contrato: </w:t>
      </w:r>
      <w:r w:rsidRPr="00EE0AE9">
        <w:rPr>
          <w:rFonts w:ascii="NewsGotT" w:hAnsi="NewsGotT" w:cs="NewsGotT-Reg"/>
          <w:sz w:val="20"/>
          <w:highlight w:val="lightGray"/>
        </w:rPr>
        <w:t>Locação/Aquisição bens/serviços</w:t>
      </w:r>
      <w:r w:rsidRPr="00EE0AE9">
        <w:rPr>
          <w:rFonts w:ascii="NewsGotT" w:hAnsi="NewsGotT" w:cs="NewsGotT-Reg"/>
          <w:sz w:val="20"/>
        </w:rPr>
        <w:t>.</w:t>
      </w:r>
    </w:p>
    <w:p w14:paraId="19650DF1" w14:textId="77777777" w:rsidR="0027644D" w:rsidRPr="00EE0AE9" w:rsidRDefault="0027644D" w:rsidP="0027644D">
      <w:pPr>
        <w:tabs>
          <w:tab w:val="center" w:pos="4252"/>
          <w:tab w:val="right" w:pos="8504"/>
        </w:tabs>
        <w:spacing w:after="0" w:line="276" w:lineRule="auto"/>
        <w:rPr>
          <w:rFonts w:ascii="NewsGotT" w:hAnsi="NewsGotT" w:cs="NewsGotT-Reg"/>
          <w:sz w:val="20"/>
        </w:rPr>
      </w:pPr>
      <w:bookmarkStart w:id="0" w:name="_GoBack"/>
      <w:bookmarkEnd w:id="0"/>
    </w:p>
    <w:p w14:paraId="54D49D22" w14:textId="77777777" w:rsidR="0027644D" w:rsidRPr="00EE0AE9" w:rsidRDefault="0027644D" w:rsidP="0027644D">
      <w:pPr>
        <w:numPr>
          <w:ilvl w:val="0"/>
          <w:numId w:val="5"/>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Órgão que tomou a decisão de contratar</w:t>
      </w:r>
    </w:p>
    <w:p w14:paraId="7B9CFF3C"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r w:rsidRPr="00EE0AE9">
        <w:rPr>
          <w:rFonts w:ascii="NewsGotT" w:hAnsi="NewsGotT" w:cs="NewsGotT-Reg"/>
          <w:sz w:val="20"/>
          <w:szCs w:val="20"/>
        </w:rPr>
        <w:t xml:space="preserve">A decisão de contratar foi autorizada </w:t>
      </w:r>
      <w:commentRangeStart w:id="1"/>
      <w:r w:rsidRPr="00EE0AE9">
        <w:rPr>
          <w:rFonts w:ascii="NewsGotT" w:hAnsi="NewsGotT" w:cs="NewsGotT-Reg"/>
          <w:sz w:val="20"/>
          <w:szCs w:val="20"/>
        </w:rPr>
        <w:t>por</w:t>
      </w:r>
      <w:commentRangeEnd w:id="1"/>
      <w:r w:rsidR="00B71120">
        <w:rPr>
          <w:rStyle w:val="Refdecomentrio"/>
        </w:rPr>
        <w:commentReference w:id="1"/>
      </w:r>
      <w:r w:rsidRPr="00EE0AE9">
        <w:rPr>
          <w:rFonts w:ascii="NewsGotT" w:hAnsi="NewsGotT" w:cs="NewsGotT-Reg"/>
          <w:sz w:val="20"/>
          <w:szCs w:val="20"/>
        </w:rPr>
        <w:t xml:space="preserve"> </w:t>
      </w:r>
      <w:r w:rsidRPr="00EE0AE9">
        <w:rPr>
          <w:rFonts w:ascii="NewsGotT" w:hAnsi="NewsGotT" w:cs="NewsGotT-Reg"/>
          <w:i/>
          <w:sz w:val="20"/>
          <w:szCs w:val="20"/>
          <w:highlight w:val="lightGray"/>
        </w:rPr>
        <w:t>[identificar o órgão que autorizou o procedimento/despesa e, se for o caso, indicar o ato que o habilite para o efeito]</w:t>
      </w:r>
      <w:r w:rsidRPr="00EE0AE9">
        <w:rPr>
          <w:rFonts w:ascii="NewsGotT" w:hAnsi="NewsGotT" w:cs="NewsGotT-Reg"/>
          <w:sz w:val="20"/>
          <w:szCs w:val="20"/>
        </w:rPr>
        <w:t>, nos termos do artigo 36.º do Código dos Contratos Públicos (CCP), aprovado através do Decreto-Lei n.º 18/2008, de 29 de janeiro, com as atualizações em vigor.</w:t>
      </w:r>
    </w:p>
    <w:p w14:paraId="50F8917D" w14:textId="77777777" w:rsidR="0027644D" w:rsidRPr="00EE0AE9" w:rsidRDefault="0027644D" w:rsidP="0027644D">
      <w:pPr>
        <w:autoSpaceDE w:val="0"/>
        <w:autoSpaceDN w:val="0"/>
        <w:adjustRightInd w:val="0"/>
        <w:spacing w:after="0" w:line="276" w:lineRule="auto"/>
        <w:ind w:right="141"/>
        <w:rPr>
          <w:rFonts w:ascii="NewsGotT" w:hAnsi="NewsGotT" w:cs="NewsGotT-Reg"/>
          <w:sz w:val="20"/>
          <w:szCs w:val="20"/>
        </w:rPr>
      </w:pPr>
    </w:p>
    <w:p w14:paraId="6AF24971" w14:textId="77777777" w:rsidR="0027644D" w:rsidRPr="00EE0AE9" w:rsidRDefault="0027644D" w:rsidP="0027644D">
      <w:pPr>
        <w:numPr>
          <w:ilvl w:val="0"/>
          <w:numId w:val="5"/>
        </w:numPr>
        <w:autoSpaceDE w:val="0"/>
        <w:autoSpaceDN w:val="0"/>
        <w:adjustRightInd w:val="0"/>
        <w:spacing w:after="0" w:line="276" w:lineRule="auto"/>
        <w:ind w:left="284" w:right="142" w:hanging="284"/>
        <w:jc w:val="both"/>
        <w:rPr>
          <w:rFonts w:ascii="NewsGotT" w:hAnsi="NewsGotT" w:cs="NewsGotT-Reg"/>
          <w:b/>
          <w:sz w:val="20"/>
          <w:szCs w:val="20"/>
        </w:rPr>
      </w:pPr>
      <w:r w:rsidRPr="00EE0AE9">
        <w:rPr>
          <w:rFonts w:ascii="NewsGotT" w:hAnsi="NewsGotT" w:cs="NewsGotT-Reg"/>
          <w:b/>
          <w:sz w:val="20"/>
          <w:szCs w:val="20"/>
        </w:rPr>
        <w:t>Fundamento da escolha do ajuste direto</w:t>
      </w:r>
    </w:p>
    <w:p w14:paraId="6BF85681" w14:textId="77777777" w:rsidR="0027644D" w:rsidRPr="00EE0AE9" w:rsidRDefault="0027644D" w:rsidP="0027644D">
      <w:pPr>
        <w:autoSpaceDE w:val="0"/>
        <w:autoSpaceDN w:val="0"/>
        <w:adjustRightInd w:val="0"/>
        <w:spacing w:after="0" w:line="276" w:lineRule="auto"/>
        <w:ind w:right="142"/>
        <w:rPr>
          <w:rFonts w:ascii="NewsGotT" w:hAnsi="NewsGotT" w:cs="NewsGotT-Reg"/>
          <w:sz w:val="20"/>
          <w:szCs w:val="20"/>
        </w:rPr>
      </w:pPr>
      <w:r w:rsidRPr="00EE0AE9">
        <w:rPr>
          <w:rFonts w:ascii="NewsGotT" w:hAnsi="NewsGotT" w:cs="NewsGotT-Reg"/>
          <w:sz w:val="20"/>
          <w:szCs w:val="20"/>
        </w:rPr>
        <w:t xml:space="preserve">A escolha do procedimento de Ajuste Direto tem por base o estabelecido </w:t>
      </w:r>
      <w:r w:rsidRPr="00EE0AE9">
        <w:rPr>
          <w:rFonts w:ascii="NewsGotT" w:hAnsi="NewsGotT" w:cs="NewsGotT-Reg"/>
          <w:sz w:val="20"/>
          <w:szCs w:val="20"/>
          <w:highlight w:val="lightGray"/>
        </w:rPr>
        <w:t>na alínea d) do n.º 1 do art.º 20.º</w:t>
      </w:r>
      <w:r w:rsidRPr="00EE0AE9">
        <w:rPr>
          <w:rFonts w:ascii="NewsGotT" w:hAnsi="NewsGotT" w:cs="NewsGotT-Reg"/>
          <w:sz w:val="20"/>
          <w:szCs w:val="20"/>
        </w:rPr>
        <w:t xml:space="preserve"> do CCP.</w:t>
      </w:r>
    </w:p>
    <w:p w14:paraId="311B86C7" w14:textId="77777777" w:rsidR="0027644D" w:rsidRPr="00EE0AE9" w:rsidRDefault="0027644D" w:rsidP="0027644D">
      <w:pPr>
        <w:autoSpaceDE w:val="0"/>
        <w:autoSpaceDN w:val="0"/>
        <w:adjustRightInd w:val="0"/>
        <w:spacing w:after="0" w:line="276" w:lineRule="auto"/>
        <w:ind w:right="142"/>
        <w:rPr>
          <w:rFonts w:ascii="NewsGotT" w:hAnsi="NewsGotT" w:cs="NewsGotT-Reg"/>
          <w:sz w:val="20"/>
          <w:szCs w:val="20"/>
        </w:rPr>
      </w:pPr>
    </w:p>
    <w:p w14:paraId="080E5A23" w14:textId="77777777" w:rsidR="0027644D" w:rsidRPr="00EE0AE9" w:rsidRDefault="0027644D" w:rsidP="0027644D">
      <w:pPr>
        <w:numPr>
          <w:ilvl w:val="0"/>
          <w:numId w:val="5"/>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Impedimentos</w:t>
      </w:r>
    </w:p>
    <w:p w14:paraId="29A49C06"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5.1. Não podem ser candidatos, concorrentes ou integrar qualquer agrupamento, as entidades que violem qualquer das disposições previstas no artigo 55.º do CCP.</w:t>
      </w:r>
    </w:p>
    <w:p w14:paraId="2B026B92"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 xml:space="preserve">5.2. Não podem ser convidadas a apresentar proposta entidades especialmente relacionadas com as entidades referidas nos n.ºs 2 e 5 do artigo 113.º do CCP, considerando-se como tais, nomeadamente, as entidades que partilhem, ainda que apenas parcialmente, representantes legais ou sócios, ou as sociedades que se encontrem em relação de simples participação, de participação recíproca, de domínio ou de grupo, nos termos do n.º 6 do referido artigo. </w:t>
      </w:r>
    </w:p>
    <w:p w14:paraId="16E58E44"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5.3. A participação de concorrente que se encontre em alguma das situações previstas no artigo 55.º ou no n.º 6 do artigo 113.º do CCP no momento da apresentação da respetiva proposta, da adjudicação ou da celebração do contrato, constitui contraordenação muito grave, punível com pena de coima, nos termos do artigo 456.º do mesmo diploma.</w:t>
      </w:r>
    </w:p>
    <w:p w14:paraId="7F8F9274"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p>
    <w:p w14:paraId="41F25E7B" w14:textId="77777777" w:rsidR="0027644D" w:rsidRPr="00EE0AE9" w:rsidRDefault="0027644D" w:rsidP="0027644D">
      <w:pPr>
        <w:widowControl w:val="0"/>
        <w:numPr>
          <w:ilvl w:val="0"/>
          <w:numId w:val="5"/>
        </w:numPr>
        <w:autoSpaceDE w:val="0"/>
        <w:autoSpaceDN w:val="0"/>
        <w:adjustRightInd w:val="0"/>
        <w:spacing w:after="0" w:line="276" w:lineRule="auto"/>
        <w:ind w:left="284" w:right="215" w:hanging="284"/>
        <w:jc w:val="both"/>
        <w:rPr>
          <w:rFonts w:ascii="NewsGotT" w:hAnsi="NewsGotT"/>
          <w:b/>
          <w:sz w:val="20"/>
          <w:szCs w:val="20"/>
        </w:rPr>
      </w:pPr>
      <w:r w:rsidRPr="00EE0AE9">
        <w:rPr>
          <w:rFonts w:ascii="NewsGotT" w:hAnsi="NewsGotT" w:cs="NewsGotT-Bol"/>
          <w:b/>
          <w:color w:val="000000"/>
          <w:sz w:val="20"/>
          <w:szCs w:val="20"/>
        </w:rPr>
        <w:t>Disponibilização e acesso ao procedimento</w:t>
      </w:r>
    </w:p>
    <w:p w14:paraId="0A1F75B8"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6.1. O presente procedimento será integralmente conduzido através do endereço eletrónico indicado no ponto 1.</w:t>
      </w:r>
    </w:p>
    <w:p w14:paraId="73F3CFEF"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lastRenderedPageBreak/>
        <w:t xml:space="preserve">6.2. O processo encontra-se disponível para consulta no local indicado no ponto 1 onde pode ser examinado até ao prazo limite de apresentação das propostas. As referidas instalações funcionam nos dias úteis, de segunda a sexta-feira, das </w:t>
      </w:r>
      <w:r w:rsidRPr="00EE0AE9">
        <w:rPr>
          <w:rFonts w:ascii="NewsGotT" w:hAnsi="NewsGotT" w:cs="NewsGotT"/>
          <w:i/>
          <w:sz w:val="20"/>
          <w:highlight w:val="lightGray"/>
          <w:lang w:eastAsia="pt-PT"/>
        </w:rPr>
        <w:t>[indicar horário de funcionamento]</w:t>
      </w:r>
      <w:r w:rsidRPr="00EE0AE9">
        <w:rPr>
          <w:rFonts w:ascii="NewsGotT" w:hAnsi="NewsGotT" w:cs="NewsGotT"/>
          <w:sz w:val="20"/>
          <w:lang w:eastAsia="pt-PT"/>
        </w:rPr>
        <w:t>.</w:t>
      </w:r>
    </w:p>
    <w:p w14:paraId="6B7CF796"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p>
    <w:p w14:paraId="343327C2" w14:textId="77777777" w:rsidR="0027644D" w:rsidRPr="00EE0AE9" w:rsidRDefault="0027644D" w:rsidP="0027644D">
      <w:pPr>
        <w:numPr>
          <w:ilvl w:val="0"/>
          <w:numId w:val="5"/>
        </w:numPr>
        <w:tabs>
          <w:tab w:val="center" w:pos="4252"/>
          <w:tab w:val="right" w:pos="8504"/>
        </w:tabs>
        <w:spacing w:after="0" w:line="276" w:lineRule="auto"/>
        <w:ind w:left="284" w:right="215" w:hanging="284"/>
        <w:rPr>
          <w:rFonts w:ascii="NewsGotT" w:hAnsi="NewsGotT" w:cs="NewsGotT"/>
          <w:b/>
          <w:sz w:val="20"/>
          <w:lang w:eastAsia="pt-PT"/>
        </w:rPr>
      </w:pPr>
      <w:r w:rsidRPr="00EE0AE9">
        <w:rPr>
          <w:rFonts w:ascii="NewsGotT" w:hAnsi="NewsGotT" w:cs="NewsGotT"/>
          <w:b/>
          <w:sz w:val="20"/>
          <w:lang w:eastAsia="pt-PT"/>
        </w:rPr>
        <w:t>Esclarecimentos, retificações e alterações das peças do procedimento</w:t>
      </w:r>
    </w:p>
    <w:p w14:paraId="29891778" w14:textId="77777777" w:rsidR="0027644D" w:rsidRPr="00EE0AE9" w:rsidRDefault="0027644D" w:rsidP="0027644D">
      <w:pPr>
        <w:spacing w:after="0" w:line="276" w:lineRule="auto"/>
        <w:ind w:right="139"/>
        <w:rPr>
          <w:rFonts w:ascii="NewsGotT" w:hAnsi="NewsGotT"/>
          <w:sz w:val="20"/>
          <w:szCs w:val="20"/>
        </w:rPr>
      </w:pPr>
      <w:r w:rsidRPr="00EE0AE9">
        <w:rPr>
          <w:rFonts w:ascii="NewsGotT" w:hAnsi="NewsGotT"/>
          <w:sz w:val="20"/>
          <w:szCs w:val="20"/>
        </w:rPr>
        <w:t xml:space="preserve">7.1. Os esclarecimentos necessários à boa compreensão e interpretação das peças do procedimento podem ser solicitados pelo interessado, por escrito, </w:t>
      </w:r>
      <w:r w:rsidRPr="00EE0AE9">
        <w:rPr>
          <w:rFonts w:ascii="NewsGotT" w:hAnsi="NewsGotT"/>
          <w:sz w:val="20"/>
          <w:szCs w:val="20"/>
          <w:u w:val="single"/>
        </w:rPr>
        <w:t>no primeiro terço do prazo fixado para a apresentação das propostas</w:t>
      </w:r>
      <w:r w:rsidRPr="00EE0AE9">
        <w:rPr>
          <w:rFonts w:ascii="NewsGotT" w:hAnsi="NewsGotT"/>
          <w:sz w:val="20"/>
          <w:szCs w:val="20"/>
        </w:rPr>
        <w:t xml:space="preserve">, através do endereço eletrónico indicado no ponto 1. </w:t>
      </w:r>
    </w:p>
    <w:p w14:paraId="0B560FD8" w14:textId="77777777" w:rsidR="0027644D" w:rsidRPr="00EE0AE9" w:rsidRDefault="0027644D" w:rsidP="0027644D">
      <w:pPr>
        <w:spacing w:after="0" w:line="276" w:lineRule="auto"/>
        <w:ind w:right="139"/>
        <w:rPr>
          <w:rFonts w:ascii="NewsGotT" w:hAnsi="NewsGotT"/>
          <w:sz w:val="20"/>
          <w:szCs w:val="20"/>
        </w:rPr>
      </w:pPr>
      <w:r w:rsidRPr="00EE0AE9">
        <w:rPr>
          <w:rFonts w:ascii="NewsGotT" w:hAnsi="NewsGotT"/>
          <w:sz w:val="20"/>
          <w:szCs w:val="20"/>
        </w:rPr>
        <w:t xml:space="preserve">7.2. </w:t>
      </w:r>
      <w:r w:rsidRPr="00EE0AE9">
        <w:rPr>
          <w:rFonts w:ascii="NewsGotT" w:hAnsi="NewsGotT"/>
          <w:sz w:val="20"/>
          <w:szCs w:val="20"/>
          <w:u w:val="single"/>
        </w:rPr>
        <w:t>Até ao termo do primeiro terço do prazo fixado para a apresentação da proposta</w:t>
      </w:r>
      <w:r w:rsidRPr="00EE0AE9">
        <w:rPr>
          <w:rFonts w:ascii="NewsGotT" w:hAnsi="NewsGotT"/>
          <w:sz w:val="20"/>
          <w:szCs w:val="20"/>
        </w:rPr>
        <w:t>, o interessado deve ainda apresentar, através do endereço eletrónico indicado no ponto 1, ao órgão competente para a decisão de contratar, uma lista na qual identifique, expressa e inequivocamente, os erros e as omissões que, eventualmente, tenha detetado. Para o efeito, consideram-se erros e omissões das peças do procedimento detetados os que digam respeito a:</w:t>
      </w:r>
    </w:p>
    <w:p w14:paraId="7FAA7C40" w14:textId="77777777" w:rsidR="0027644D" w:rsidRPr="00EE0AE9" w:rsidRDefault="0027644D" w:rsidP="0027644D">
      <w:pPr>
        <w:numPr>
          <w:ilvl w:val="0"/>
          <w:numId w:val="2"/>
        </w:numPr>
        <w:tabs>
          <w:tab w:val="left" w:pos="567"/>
        </w:tabs>
        <w:spacing w:after="0" w:line="276" w:lineRule="auto"/>
        <w:ind w:right="139"/>
        <w:jc w:val="both"/>
        <w:rPr>
          <w:rFonts w:ascii="NewsGotT" w:hAnsi="NewsGotT"/>
          <w:sz w:val="20"/>
          <w:szCs w:val="20"/>
        </w:rPr>
      </w:pPr>
      <w:r w:rsidRPr="00EE0AE9">
        <w:rPr>
          <w:rFonts w:ascii="NewsGotT" w:hAnsi="NewsGotT"/>
          <w:sz w:val="20"/>
          <w:szCs w:val="20"/>
        </w:rPr>
        <w:t>Aspetos ou dados que se revelem desconformes com a realidade;</w:t>
      </w:r>
    </w:p>
    <w:p w14:paraId="4A6D9896" w14:textId="77777777" w:rsidR="0027644D" w:rsidRPr="00EE0AE9" w:rsidRDefault="0027644D" w:rsidP="0027644D">
      <w:pPr>
        <w:numPr>
          <w:ilvl w:val="0"/>
          <w:numId w:val="2"/>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Espécie ou quantidade de prestações estritamente necessárias à integral execução do objeto do contrato a celebrar;</w:t>
      </w:r>
    </w:p>
    <w:p w14:paraId="69839DB6" w14:textId="77777777" w:rsidR="0027644D" w:rsidRPr="00EE0AE9" w:rsidRDefault="0027644D" w:rsidP="0027644D">
      <w:pPr>
        <w:numPr>
          <w:ilvl w:val="0"/>
          <w:numId w:val="2"/>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Condições técnicas de execução do objeto do contrato a celebrar que o interessado não considere exequíveis;</w:t>
      </w:r>
    </w:p>
    <w:p w14:paraId="79464C8B" w14:textId="77777777" w:rsidR="0027644D" w:rsidRPr="00EE0AE9" w:rsidRDefault="0027644D" w:rsidP="0027644D">
      <w:pPr>
        <w:numPr>
          <w:ilvl w:val="0"/>
          <w:numId w:val="2"/>
        </w:numPr>
        <w:tabs>
          <w:tab w:val="left" w:pos="567"/>
        </w:tabs>
        <w:spacing w:after="0" w:line="276" w:lineRule="auto"/>
        <w:ind w:left="567" w:right="139" w:hanging="283"/>
        <w:jc w:val="both"/>
        <w:rPr>
          <w:rFonts w:ascii="NewsGotT" w:hAnsi="NewsGotT"/>
          <w:sz w:val="20"/>
          <w:szCs w:val="20"/>
        </w:rPr>
      </w:pPr>
      <w:r w:rsidRPr="00EE0AE9">
        <w:rPr>
          <w:rFonts w:ascii="NewsGotT" w:hAnsi="NewsGotT"/>
          <w:sz w:val="20"/>
          <w:szCs w:val="20"/>
        </w:rPr>
        <w:t>Erros e omissões do projeto de execução que não se incluam nas alíneas anteriores.</w:t>
      </w:r>
    </w:p>
    <w:p w14:paraId="18F37340" w14:textId="77777777" w:rsidR="0027644D" w:rsidRPr="00EE0AE9" w:rsidRDefault="0027644D" w:rsidP="0027644D">
      <w:pPr>
        <w:spacing w:after="0" w:line="276" w:lineRule="auto"/>
        <w:ind w:right="139"/>
        <w:rPr>
          <w:rFonts w:ascii="NewsGotT" w:hAnsi="NewsGotT"/>
          <w:sz w:val="20"/>
          <w:szCs w:val="20"/>
        </w:rPr>
      </w:pPr>
      <w:r w:rsidRPr="00EE0AE9">
        <w:rPr>
          <w:rFonts w:ascii="NewsGotT" w:hAnsi="NewsGotT"/>
          <w:sz w:val="20"/>
          <w:szCs w:val="20"/>
        </w:rPr>
        <w:t>7.3. Excetuam-se do disposto no número anterior os erros e as omissões referidos na alínea d) do número anterior e aqueles que o concorrente, atuando com a diligência objetivamente exigível em face das circunstâncias concretas, apenas pudesse detetar na fase de execução do contrato.</w:t>
      </w:r>
    </w:p>
    <w:p w14:paraId="4E991060" w14:textId="77777777" w:rsidR="0027644D" w:rsidRPr="00EE0AE9" w:rsidRDefault="0027644D" w:rsidP="0027644D">
      <w:pPr>
        <w:spacing w:after="0" w:line="276" w:lineRule="auto"/>
        <w:ind w:right="139"/>
        <w:rPr>
          <w:rFonts w:ascii="NewsGotT" w:hAnsi="NewsGotT"/>
          <w:sz w:val="20"/>
          <w:szCs w:val="20"/>
        </w:rPr>
      </w:pPr>
      <w:r w:rsidRPr="00EE0AE9">
        <w:rPr>
          <w:rFonts w:ascii="NewsGotT" w:hAnsi="NewsGotT"/>
          <w:sz w:val="20"/>
          <w:szCs w:val="20"/>
        </w:rPr>
        <w:t xml:space="preserve">7.4. O incumprimento do dever a que se referem os números anteriores acarreta as consequências previstas nos n.ºs 3 e 4 do artigo 378.º do Código dos Contratos Públicos. </w:t>
      </w:r>
    </w:p>
    <w:p w14:paraId="61162091" w14:textId="77777777" w:rsidR="0027644D" w:rsidRPr="00EE0AE9" w:rsidRDefault="0027644D" w:rsidP="0027644D">
      <w:pPr>
        <w:tabs>
          <w:tab w:val="center" w:pos="4252"/>
          <w:tab w:val="right" w:pos="8504"/>
        </w:tabs>
        <w:spacing w:after="0" w:line="276" w:lineRule="auto"/>
        <w:ind w:right="139"/>
        <w:rPr>
          <w:rFonts w:ascii="NewsGotT" w:hAnsi="NewsGotT" w:cs="NewsGotT"/>
          <w:color w:val="808080" w:themeColor="background1" w:themeShade="80"/>
          <w:sz w:val="20"/>
          <w:u w:val="dotted"/>
          <w:lang w:eastAsia="pt-PT"/>
        </w:rPr>
      </w:pPr>
      <w:r w:rsidRPr="00EE0AE9">
        <w:rPr>
          <w:rFonts w:ascii="NewsGotT" w:hAnsi="NewsGotT" w:cs="NewsGotT"/>
          <w:sz w:val="20"/>
          <w:lang w:eastAsia="pt-PT"/>
        </w:rPr>
        <w:t xml:space="preserve">7.5. </w:t>
      </w:r>
      <w:r w:rsidRPr="00EE0AE9">
        <w:rPr>
          <w:rFonts w:ascii="NewsGotT" w:hAnsi="NewsGotT" w:cs="NewsGotT"/>
          <w:sz w:val="20"/>
          <w:u w:val="single"/>
          <w:lang w:eastAsia="pt-PT"/>
        </w:rPr>
        <w:t>Até ao termo do segundo terço do prazo fixado para a apresentação das propostas</w:t>
      </w:r>
      <w:r w:rsidRPr="00EE0AE9">
        <w:rPr>
          <w:rFonts w:ascii="NewsGotT" w:hAnsi="NewsGotT" w:cs="NewsGotT"/>
          <w:sz w:val="20"/>
          <w:lang w:eastAsia="pt-PT"/>
        </w:rPr>
        <w:t xml:space="preserve"> </w:t>
      </w:r>
      <w:r w:rsidRPr="00EE0AE9">
        <w:rPr>
          <w:rFonts w:ascii="NewsGotT" w:hAnsi="NewsGotT" w:cs="NewsGotT"/>
          <w:b/>
          <w:sz w:val="20"/>
          <w:highlight w:val="lightGray"/>
          <w:lang w:eastAsia="pt-PT"/>
        </w:rPr>
        <w:t>OU</w:t>
      </w:r>
      <w:r w:rsidRPr="00EE0AE9">
        <w:rPr>
          <w:rFonts w:ascii="NewsGotT" w:hAnsi="NewsGotT" w:cs="NewsGotT"/>
          <w:sz w:val="20"/>
          <w:lang w:eastAsia="pt-PT"/>
        </w:rPr>
        <w:t xml:space="preserve"> </w:t>
      </w:r>
      <w:r w:rsidRPr="00EE0AE9">
        <w:rPr>
          <w:rFonts w:ascii="NewsGotT" w:hAnsi="NewsGotT" w:cs="NewsGotT"/>
          <w:sz w:val="20"/>
          <w:u w:val="single"/>
          <w:lang w:eastAsia="pt-PT"/>
        </w:rPr>
        <w:t>Até ao dia anterior ao termo do prazo fixado para a apresentação da proposta, nos termos do artigo 116.º do CCP</w:t>
      </w:r>
      <w:r w:rsidRPr="00EE0AE9">
        <w:rPr>
          <w:rFonts w:ascii="NewsGotT" w:hAnsi="NewsGotT" w:cs="NewsGotT"/>
          <w:sz w:val="20"/>
          <w:lang w:eastAsia="pt-PT"/>
        </w:rPr>
        <w:t xml:space="preserve"> </w:t>
      </w:r>
      <w:r w:rsidRPr="00EE0AE9">
        <w:rPr>
          <w:rFonts w:ascii="NewsGotT" w:hAnsi="NewsGotT" w:cs="NewsGotT"/>
          <w:i/>
          <w:sz w:val="20"/>
          <w:highlight w:val="lightGray"/>
          <w:lang w:eastAsia="pt-PT"/>
        </w:rPr>
        <w:t>[aplica-se a segunda hipótese, caso o prazo para a apresentação de propostas for inferior a 9 dias]</w:t>
      </w:r>
      <w:r w:rsidRPr="00EE0AE9">
        <w:rPr>
          <w:rFonts w:ascii="NewsGotT" w:hAnsi="NewsGotT" w:cs="NewsGotT"/>
          <w:sz w:val="20"/>
          <w:highlight w:val="lightGray"/>
          <w:lang w:eastAsia="pt-PT"/>
        </w:rPr>
        <w:t>:</w:t>
      </w:r>
    </w:p>
    <w:p w14:paraId="28EC57E2" w14:textId="77777777" w:rsidR="0027644D" w:rsidRPr="00EE0AE9" w:rsidRDefault="0027644D" w:rsidP="0027644D">
      <w:pPr>
        <w:numPr>
          <w:ilvl w:val="0"/>
          <w:numId w:val="3"/>
        </w:num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O nomeado para a condução do procedimento deve prestar os esclarecimentos solicitados, através do endereço eletrónico indicado no ponto 1;</w:t>
      </w:r>
    </w:p>
    <w:p w14:paraId="0DF44096" w14:textId="77777777" w:rsidR="0027644D" w:rsidRPr="00EE0AE9" w:rsidRDefault="0027644D" w:rsidP="0027644D">
      <w:pPr>
        <w:numPr>
          <w:ilvl w:val="0"/>
          <w:numId w:val="3"/>
        </w:num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O órgão competente para a decisão de contratar deve pronunciar-se,</w:t>
      </w:r>
      <w:r w:rsidRPr="00EE0AE9">
        <w:rPr>
          <w:rFonts w:ascii="NewsGotT" w:hAnsi="NewsGotT"/>
        </w:rPr>
        <w:t xml:space="preserve"> </w:t>
      </w:r>
      <w:r w:rsidRPr="00EE0AE9">
        <w:rPr>
          <w:rFonts w:ascii="NewsGotT" w:hAnsi="NewsGotT" w:cs="NewsGotT"/>
          <w:sz w:val="20"/>
          <w:lang w:eastAsia="pt-PT"/>
        </w:rPr>
        <w:t>através do endereço eletrónico indicado no ponto 1, sobre os erros e as omissões identificados pelo interessado, considerando-se rejeitados todos os que, até ao final daquele prazo, não sejam por ele expressamente aceites.</w:t>
      </w:r>
    </w:p>
    <w:p w14:paraId="6E5E78E8"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7.6. Quando as retificações ou os esclarecimentos sejam comunicados para além do prazo estabelecido no número anterior, o prazo fixado para a apresentação da proposta deve ser prorrogado, no mínimo, por período equivalente ao do atraso verificado, nos termos do n.º 1 do artigo 64.º do CCP.</w:t>
      </w:r>
    </w:p>
    <w:p w14:paraId="395141E2"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7.7. Quando as retificações ou a aceitação de erros ou de omissões das peças do procedimento, independentemente do momento da sua comunicação, implicarem alterações de aspetos fundamentais das peças do procedimento, o prazo fixado para a apresentação da proposta deve ser prorrogado, no mínimo, por período equivalente ao tempo decorrido desde o início daquele prazo até à comunicação das retificações ou à publicitação da decisão de aceitação de erros ou de omissões, nos termos do n.º 3 do artigo 64.º do CCP.</w:t>
      </w:r>
    </w:p>
    <w:p w14:paraId="7D5960A0"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7.8. A pedido fundamentado do interessado, o prazo fixado para a apresentação da proposta pode ser prorrogado pelo período considerado adequado, nos termos do n.º 3 do artigo 64.º do CCP.</w:t>
      </w:r>
    </w:p>
    <w:p w14:paraId="68DCDF0C"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7.9. Os esclarecimentos, as retificações e as listas com a identificação dos erros e omissões detetados pelo interessado serão disponibilizados através do endereço eletrónico indicado no ponto 1 e juntos às peças do procedimento patentes para consulta, nos termos do n.º 5 do artigo 64.º do CCP.</w:t>
      </w:r>
    </w:p>
    <w:p w14:paraId="7C65B230"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r w:rsidRPr="00EE0AE9">
        <w:rPr>
          <w:rFonts w:ascii="NewsGotT" w:hAnsi="NewsGotT" w:cs="NewsGotT"/>
          <w:sz w:val="20"/>
          <w:lang w:eastAsia="pt-PT"/>
        </w:rPr>
        <w:t>7.10. Os esclarecimentos e as retificações fazem parte integrante das peças do procedimento a que dizem respeito e prevalecem sobre estas em caso de divergência.</w:t>
      </w:r>
    </w:p>
    <w:p w14:paraId="6471CBAE"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p>
    <w:p w14:paraId="7C9FAFF1" w14:textId="77777777" w:rsidR="0027644D" w:rsidRPr="00EE0AE9" w:rsidRDefault="0027644D" w:rsidP="0027644D">
      <w:pPr>
        <w:numPr>
          <w:ilvl w:val="0"/>
          <w:numId w:val="5"/>
        </w:numPr>
        <w:autoSpaceDE w:val="0"/>
        <w:autoSpaceDN w:val="0"/>
        <w:adjustRightInd w:val="0"/>
        <w:spacing w:after="0" w:line="276" w:lineRule="auto"/>
        <w:ind w:right="141"/>
        <w:jc w:val="both"/>
        <w:rPr>
          <w:rFonts w:ascii="NewsGotT" w:hAnsi="NewsGotT" w:cs="NewsGotT-Bol"/>
          <w:b/>
          <w:sz w:val="20"/>
          <w:szCs w:val="20"/>
        </w:rPr>
      </w:pPr>
      <w:r w:rsidRPr="00EE0AE9">
        <w:rPr>
          <w:rFonts w:ascii="NewsGotT" w:hAnsi="NewsGotT" w:cs="NewsGotT-Bol"/>
          <w:b/>
          <w:sz w:val="20"/>
          <w:szCs w:val="20"/>
        </w:rPr>
        <w:t>Prazo e modo de apresentação da proposta</w:t>
      </w:r>
    </w:p>
    <w:p w14:paraId="152DB9AC" w14:textId="77777777" w:rsidR="0027644D" w:rsidRPr="00EE0AE9" w:rsidRDefault="0027644D" w:rsidP="0027644D">
      <w:pPr>
        <w:autoSpaceDE w:val="0"/>
        <w:autoSpaceDN w:val="0"/>
        <w:adjustRightInd w:val="0"/>
        <w:spacing w:after="0" w:line="276" w:lineRule="auto"/>
        <w:ind w:right="141"/>
        <w:rPr>
          <w:rFonts w:ascii="NewsGotT" w:hAnsi="NewsGotT" w:cs="NewsGotT-Bol"/>
          <w:sz w:val="20"/>
          <w:szCs w:val="20"/>
        </w:rPr>
      </w:pPr>
      <w:r w:rsidRPr="00EE0AE9">
        <w:rPr>
          <w:rFonts w:ascii="NewsGotT" w:hAnsi="NewsGotT" w:cs="NewsGotT-Bol"/>
          <w:sz w:val="20"/>
          <w:szCs w:val="20"/>
        </w:rPr>
        <w:t xml:space="preserve">8.1. Os documentos que constituem a proposta deverão ser apresentados </w:t>
      </w:r>
      <w:r w:rsidRPr="00EE0AE9">
        <w:rPr>
          <w:rFonts w:ascii="NewsGotT" w:hAnsi="NewsGotT" w:cs="NewsGotT"/>
          <w:sz w:val="20"/>
        </w:rPr>
        <w:t>através do endereço eletrónico indicado no ponto 1</w:t>
      </w:r>
      <w:r w:rsidRPr="00EE0AE9">
        <w:rPr>
          <w:rFonts w:ascii="NewsGotT" w:hAnsi="NewsGotT" w:cs="NewsGotT-Bol"/>
          <w:sz w:val="20"/>
          <w:szCs w:val="20"/>
        </w:rPr>
        <w:t xml:space="preserve">, até às </w:t>
      </w:r>
      <w:r w:rsidRPr="00EE0AE9">
        <w:rPr>
          <w:rFonts w:ascii="NewsGotT" w:hAnsi="NewsGotT" w:cs="NewsGotT-Bol"/>
          <w:b/>
          <w:sz w:val="20"/>
          <w:szCs w:val="20"/>
        </w:rPr>
        <w:t xml:space="preserve">23:59 horas do </w:t>
      </w:r>
      <w:r w:rsidRPr="00EE0AE9">
        <w:rPr>
          <w:rFonts w:ascii="NewsGotT" w:hAnsi="NewsGotT" w:cs="NewsGotT-Bol"/>
          <w:b/>
          <w:sz w:val="20"/>
          <w:szCs w:val="20"/>
          <w:highlight w:val="lightGray"/>
        </w:rPr>
        <w:t>__º</w:t>
      </w:r>
      <w:r w:rsidRPr="00EE0AE9">
        <w:rPr>
          <w:rFonts w:ascii="NewsGotT" w:hAnsi="NewsGotT" w:cs="NewsGotT-Bol"/>
          <w:sz w:val="20"/>
          <w:szCs w:val="20"/>
        </w:rPr>
        <w:t xml:space="preserve"> dia a contar da data de receção do presente convite.</w:t>
      </w:r>
    </w:p>
    <w:p w14:paraId="1638BE8C" w14:textId="77777777" w:rsidR="0027644D" w:rsidRPr="00EE0AE9" w:rsidRDefault="0027644D" w:rsidP="0027644D">
      <w:pPr>
        <w:autoSpaceDE w:val="0"/>
        <w:autoSpaceDN w:val="0"/>
        <w:adjustRightInd w:val="0"/>
        <w:spacing w:after="0" w:line="276" w:lineRule="auto"/>
        <w:ind w:right="141"/>
        <w:rPr>
          <w:rFonts w:ascii="NewsGotT" w:hAnsi="NewsGotT" w:cs="NewsGotT-Bol"/>
          <w:sz w:val="20"/>
          <w:szCs w:val="20"/>
        </w:rPr>
      </w:pPr>
      <w:r w:rsidRPr="00EE0AE9">
        <w:rPr>
          <w:rFonts w:ascii="NewsGotT" w:hAnsi="NewsGotT" w:cs="NewsGotT-Bol"/>
          <w:sz w:val="20"/>
          <w:szCs w:val="20"/>
        </w:rPr>
        <w:lastRenderedPageBreak/>
        <w:t>8.2. Os documentos que constituem a proposta deverão, preferencialmente, ser assinados eletronicamente, mediante a utilização de certificados de assinatura eletrónica qualificada.</w:t>
      </w:r>
    </w:p>
    <w:p w14:paraId="19F2CA24"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8.3. Quando, pela sua natureza, qualquer documento que constitua a proposta não possa ser apresentado nos termos do disposto no número anterior, aplica-se o previsto no n.º 5 do artigo 62.º do Código dos Contratos Públicos.</w:t>
      </w:r>
    </w:p>
    <w:p w14:paraId="12419349" w14:textId="77777777" w:rsidR="0027644D" w:rsidRPr="00EE0AE9" w:rsidRDefault="0027644D" w:rsidP="0027644D">
      <w:pPr>
        <w:tabs>
          <w:tab w:val="center" w:pos="4252"/>
          <w:tab w:val="right" w:pos="8504"/>
        </w:tabs>
        <w:spacing w:after="0" w:line="276" w:lineRule="auto"/>
        <w:ind w:right="139"/>
        <w:rPr>
          <w:rFonts w:ascii="NewsGotT" w:hAnsi="NewsGotT" w:cs="NewsGotT"/>
          <w:sz w:val="20"/>
          <w:lang w:eastAsia="pt-PT"/>
        </w:rPr>
      </w:pPr>
    </w:p>
    <w:p w14:paraId="78BC0094" w14:textId="77777777" w:rsidR="0027644D" w:rsidRPr="00EE0AE9" w:rsidRDefault="0027644D" w:rsidP="0027644D">
      <w:pPr>
        <w:widowControl w:val="0"/>
        <w:numPr>
          <w:ilvl w:val="0"/>
          <w:numId w:val="5"/>
        </w:numPr>
        <w:tabs>
          <w:tab w:val="left" w:pos="851"/>
        </w:tabs>
        <w:autoSpaceDE w:val="0"/>
        <w:autoSpaceDN w:val="0"/>
        <w:adjustRightInd w:val="0"/>
        <w:spacing w:after="0" w:line="276" w:lineRule="auto"/>
        <w:ind w:right="215"/>
        <w:jc w:val="both"/>
        <w:rPr>
          <w:rFonts w:ascii="NewsGotT" w:hAnsi="NewsGotT"/>
          <w:b/>
          <w:sz w:val="20"/>
          <w:szCs w:val="20"/>
        </w:rPr>
      </w:pPr>
      <w:r w:rsidRPr="00EE0AE9">
        <w:rPr>
          <w:rFonts w:ascii="NewsGotT" w:hAnsi="NewsGotT" w:cs="Calibri"/>
          <w:b/>
          <w:bCs/>
          <w:sz w:val="20"/>
          <w:szCs w:val="20"/>
        </w:rPr>
        <w:t xml:space="preserve">Documentos que constituem a proposta </w:t>
      </w:r>
    </w:p>
    <w:p w14:paraId="5F6F1C49" w14:textId="77777777" w:rsidR="0027644D" w:rsidRPr="00EE0AE9" w:rsidRDefault="0027644D" w:rsidP="0027644D">
      <w:pPr>
        <w:autoSpaceDE w:val="0"/>
        <w:autoSpaceDN w:val="0"/>
        <w:adjustRightInd w:val="0"/>
        <w:spacing w:after="0" w:line="276" w:lineRule="auto"/>
        <w:ind w:right="139"/>
        <w:rPr>
          <w:rFonts w:ascii="NewsGotT" w:hAnsi="NewsGotT" w:cs="NewsGotT-Bol"/>
          <w:color w:val="000000"/>
          <w:sz w:val="20"/>
          <w:szCs w:val="20"/>
        </w:rPr>
      </w:pPr>
      <w:r w:rsidRPr="00EE0AE9">
        <w:rPr>
          <w:rFonts w:ascii="NewsGotT" w:hAnsi="NewsGotT" w:cs="NewsGotT-Bol"/>
          <w:color w:val="000000"/>
          <w:sz w:val="20"/>
          <w:szCs w:val="20"/>
        </w:rPr>
        <w:t>9.1. A proposta é constituída pelos seguintes documentos:</w:t>
      </w:r>
      <w:r w:rsidRPr="00EE0AE9">
        <w:rPr>
          <w:rFonts w:ascii="NewsGotT" w:hAnsi="NewsGotT" w:cs="NewsGotT-Bol"/>
          <w:i/>
          <w:color w:val="000000"/>
          <w:sz w:val="20"/>
          <w:szCs w:val="20"/>
          <w:highlight w:val="lightGray"/>
        </w:rPr>
        <w:t xml:space="preserve"> [acrescentar/eliminar o que corresponde ao caso em concreto]</w:t>
      </w:r>
    </w:p>
    <w:p w14:paraId="449CF35D" w14:textId="77777777" w:rsidR="0027644D" w:rsidRPr="00EE0AE9" w:rsidRDefault="0027644D" w:rsidP="0027644D">
      <w:pPr>
        <w:autoSpaceDE w:val="0"/>
        <w:autoSpaceDN w:val="0"/>
        <w:adjustRightInd w:val="0"/>
        <w:spacing w:after="0" w:line="276" w:lineRule="auto"/>
        <w:ind w:left="256" w:right="141"/>
        <w:rPr>
          <w:rFonts w:ascii="NewsGotT" w:hAnsi="NewsGotT" w:cs="NewsGotT-Reg"/>
          <w:color w:val="000000"/>
          <w:sz w:val="20"/>
          <w:szCs w:val="20"/>
        </w:rPr>
      </w:pPr>
      <w:r w:rsidRPr="00EE0AE9">
        <w:rPr>
          <w:rFonts w:ascii="NewsGotT" w:hAnsi="NewsGotT" w:cs="NewsGotT-Reg"/>
          <w:color w:val="000000"/>
          <w:sz w:val="20"/>
          <w:szCs w:val="20"/>
        </w:rPr>
        <w:t xml:space="preserve">a) Declaração do concorrente de aceitação do conteúdo do caderno de encargos, </w:t>
      </w:r>
      <w:r w:rsidRPr="00EE0AE9">
        <w:rPr>
          <w:rFonts w:ascii="NewsGotT" w:hAnsi="NewsGotT" w:cs="NewsGotT-Reg"/>
          <w:color w:val="000000"/>
          <w:sz w:val="20"/>
          <w:szCs w:val="20"/>
          <w:u w:val="single"/>
        </w:rPr>
        <w:t>elaborada em conformidade com o modelo constante do Anexo I do presente convite</w:t>
      </w:r>
      <w:r w:rsidRPr="00EE0AE9">
        <w:rPr>
          <w:rFonts w:ascii="NewsGotT" w:hAnsi="NewsGotT" w:cs="NewsGotT-Reg"/>
          <w:color w:val="000000"/>
          <w:sz w:val="20"/>
          <w:szCs w:val="20"/>
        </w:rPr>
        <w:t>.</w:t>
      </w:r>
    </w:p>
    <w:p w14:paraId="5430FE44" w14:textId="77777777" w:rsidR="0027644D" w:rsidRPr="00EE0AE9" w:rsidRDefault="0027644D" w:rsidP="0027644D">
      <w:pPr>
        <w:numPr>
          <w:ilvl w:val="0"/>
          <w:numId w:val="1"/>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Se esta declaração for assinada por procurador, será necessário anexar procuração que confira poderes suficientes para o efeito;</w:t>
      </w:r>
    </w:p>
    <w:p w14:paraId="76975B7B" w14:textId="77777777" w:rsidR="0027644D" w:rsidRPr="00EE0AE9" w:rsidRDefault="0027644D" w:rsidP="0027644D">
      <w:pPr>
        <w:numPr>
          <w:ilvl w:val="0"/>
          <w:numId w:val="1"/>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Quando a declaração for assinada por representante legal do concorrente, é necessário apresentar a certidão permanente da empresa ou indicação do código de acesso à consulta para conferir os poderes da representação do mesmo;</w:t>
      </w:r>
    </w:p>
    <w:p w14:paraId="279D634A" w14:textId="77777777" w:rsidR="0027644D" w:rsidRPr="00EE0AE9" w:rsidRDefault="0027644D" w:rsidP="0027644D">
      <w:pPr>
        <w:numPr>
          <w:ilvl w:val="0"/>
          <w:numId w:val="1"/>
        </w:numPr>
        <w:autoSpaceDE w:val="0"/>
        <w:autoSpaceDN w:val="0"/>
        <w:adjustRightInd w:val="0"/>
        <w:spacing w:after="0" w:line="276" w:lineRule="auto"/>
        <w:ind w:left="681" w:right="141" w:hanging="283"/>
        <w:jc w:val="both"/>
        <w:rPr>
          <w:rFonts w:ascii="NewsGotT" w:hAnsi="NewsGotT" w:cs="NewsGotT-Reg"/>
          <w:color w:val="000000"/>
          <w:sz w:val="20"/>
          <w:szCs w:val="20"/>
        </w:rPr>
      </w:pPr>
      <w:r w:rsidRPr="00EE0AE9">
        <w:rPr>
          <w:rFonts w:ascii="NewsGotT" w:hAnsi="NewsGotT" w:cs="NewsGotT-Reg"/>
          <w:color w:val="000000"/>
          <w:sz w:val="20"/>
          <w:szCs w:val="20"/>
        </w:rPr>
        <w:t>Quando a proposta for apresentada por um agrupamento concorrente, a declaração referida no número anterior deve ser assinada pelo representante comum dos membros que o integram, caso em que devem anexar-se à declaração os instrumentos de mandato emitidos por cada um dos seus membros ou, não existindo representante comum, deve ser assinada por todos os seus membros ou respetivos representantes.</w:t>
      </w:r>
    </w:p>
    <w:p w14:paraId="5BF6CD0C" w14:textId="77777777" w:rsidR="0027644D" w:rsidRPr="00EE0AE9" w:rsidRDefault="0027644D" w:rsidP="0027644D">
      <w:pPr>
        <w:autoSpaceDE w:val="0"/>
        <w:autoSpaceDN w:val="0"/>
        <w:adjustRightInd w:val="0"/>
        <w:spacing w:after="0" w:line="276" w:lineRule="auto"/>
        <w:ind w:left="256" w:right="141"/>
        <w:rPr>
          <w:rFonts w:ascii="NewsGotT" w:hAnsi="NewsGotT" w:cs="NewsGotT-Reg"/>
          <w:sz w:val="20"/>
          <w:szCs w:val="20"/>
          <w:highlight w:val="yellow"/>
        </w:rPr>
      </w:pPr>
      <w:r w:rsidRPr="00EE0AE9">
        <w:rPr>
          <w:rFonts w:ascii="NewsGotT" w:hAnsi="NewsGotT" w:cs="NewsGotT-Reg"/>
          <w:sz w:val="20"/>
          <w:szCs w:val="20"/>
        </w:rPr>
        <w:t>b) Documentos que contenham os atributos da proposta submetidos à concorrência pelo caderno de encargos, de acordo com os quais o concorrente se dispõe a contratar, nomeadamente:</w:t>
      </w:r>
    </w:p>
    <w:p w14:paraId="262523EC" w14:textId="77777777" w:rsidR="0027644D" w:rsidRPr="00EE0AE9" w:rsidRDefault="0027644D" w:rsidP="0027644D">
      <w:pPr>
        <w:autoSpaceDE w:val="0"/>
        <w:autoSpaceDN w:val="0"/>
        <w:adjustRightInd w:val="0"/>
        <w:spacing w:after="0" w:line="276" w:lineRule="auto"/>
        <w:ind w:left="708" w:right="141"/>
        <w:rPr>
          <w:rFonts w:ascii="NewsGotT" w:hAnsi="NewsGotT" w:cs="NewsGotT-Reg"/>
          <w:sz w:val="20"/>
          <w:szCs w:val="20"/>
        </w:rPr>
      </w:pPr>
      <w:r w:rsidRPr="00EE0AE9">
        <w:rPr>
          <w:rFonts w:ascii="NewsGotT" w:hAnsi="NewsGotT" w:cs="NewsGotT-Reg"/>
          <w:sz w:val="20"/>
          <w:szCs w:val="20"/>
        </w:rPr>
        <w:t xml:space="preserve">- O preço total </w:t>
      </w:r>
      <w:r w:rsidRPr="00EE0AE9">
        <w:rPr>
          <w:rFonts w:ascii="NewsGotT" w:hAnsi="NewsGotT" w:cs="NewsGotT-Reg"/>
          <w:sz w:val="20"/>
          <w:szCs w:val="20"/>
          <w:highlight w:val="lightGray"/>
        </w:rPr>
        <w:t>[…]</w:t>
      </w:r>
      <w:r w:rsidRPr="00EE0AE9">
        <w:rPr>
          <w:rFonts w:ascii="NewsGotT" w:hAnsi="NewsGotT" w:cs="NewsGotT-Reg"/>
          <w:sz w:val="20"/>
          <w:szCs w:val="20"/>
        </w:rPr>
        <w:t>.</w:t>
      </w:r>
    </w:p>
    <w:p w14:paraId="79DFD10C" w14:textId="77777777" w:rsidR="0027644D" w:rsidRPr="00EE0AE9" w:rsidRDefault="0027644D" w:rsidP="0027644D">
      <w:pPr>
        <w:autoSpaceDE w:val="0"/>
        <w:autoSpaceDN w:val="0"/>
        <w:adjustRightInd w:val="0"/>
        <w:spacing w:after="0" w:line="276" w:lineRule="auto"/>
        <w:ind w:left="256" w:right="141"/>
        <w:rPr>
          <w:rFonts w:ascii="NewsGotT" w:hAnsi="NewsGotT" w:cs="NewsGotT-Reg"/>
          <w:i/>
          <w:sz w:val="20"/>
          <w:szCs w:val="20"/>
        </w:rPr>
      </w:pPr>
      <w:r w:rsidRPr="00EE0AE9">
        <w:rPr>
          <w:rFonts w:ascii="NewsGotT" w:hAnsi="NewsGotT" w:cs="NewsGotT-Reg"/>
          <w:sz w:val="20"/>
          <w:szCs w:val="20"/>
        </w:rPr>
        <w:t xml:space="preserve">c) Documentos que contenham os termos ou condições relativos a aspetos da execução do contrato não submetidos </w:t>
      </w:r>
      <w:r w:rsidRPr="00EE0AE9">
        <w:rPr>
          <w:rFonts w:ascii="NewsGotT" w:hAnsi="NewsGotT" w:cs="NewsGotT-Reg"/>
          <w:sz w:val="20"/>
          <w:szCs w:val="20"/>
        </w:rPr>
        <w:br/>
        <w:t xml:space="preserve">à concorrência pelo caderno de encargos, aos quais a entidade adjudicante pretende que o concorrente se vincule: </w:t>
      </w:r>
      <w:r w:rsidRPr="00EE0AE9">
        <w:rPr>
          <w:rFonts w:ascii="NewsGotT" w:hAnsi="NewsGotT" w:cs="NewsGotT-Reg"/>
          <w:i/>
          <w:sz w:val="20"/>
          <w:szCs w:val="20"/>
          <w:highlight w:val="lightGray"/>
        </w:rPr>
        <w:t>[se aplicável]</w:t>
      </w:r>
      <w:r w:rsidRPr="00EE0AE9">
        <w:rPr>
          <w:rFonts w:ascii="NewsGotT" w:hAnsi="NewsGotT" w:cs="NewsGotT-Reg"/>
          <w:i/>
          <w:sz w:val="20"/>
          <w:szCs w:val="20"/>
        </w:rPr>
        <w:t xml:space="preserve"> </w:t>
      </w:r>
    </w:p>
    <w:p w14:paraId="1A63C208" w14:textId="77777777" w:rsidR="0027644D" w:rsidRPr="00EE0AE9" w:rsidRDefault="0027644D" w:rsidP="0027644D">
      <w:pPr>
        <w:spacing w:after="0"/>
        <w:ind w:left="256" w:firstLine="311"/>
        <w:rPr>
          <w:rFonts w:ascii="NewsGotT" w:hAnsi="NewsGotT"/>
          <w:sz w:val="20"/>
          <w:szCs w:val="20"/>
        </w:rPr>
      </w:pPr>
      <w:r w:rsidRPr="00EE0AE9">
        <w:rPr>
          <w:rFonts w:ascii="NewsGotT" w:hAnsi="NewsGotT"/>
          <w:sz w:val="20"/>
          <w:szCs w:val="20"/>
        </w:rPr>
        <w:t xml:space="preserve">- </w:t>
      </w:r>
      <w:r w:rsidRPr="00EE0AE9">
        <w:rPr>
          <w:rFonts w:ascii="NewsGotT" w:hAnsi="NewsGotT"/>
          <w:sz w:val="20"/>
          <w:szCs w:val="20"/>
          <w:highlight w:val="lightGray"/>
        </w:rPr>
        <w:t>[…]</w:t>
      </w:r>
    </w:p>
    <w:p w14:paraId="00176C60" w14:textId="77777777" w:rsidR="0027644D" w:rsidRPr="00EE0AE9" w:rsidRDefault="0027644D" w:rsidP="0027644D">
      <w:pPr>
        <w:autoSpaceDE w:val="0"/>
        <w:autoSpaceDN w:val="0"/>
        <w:adjustRightInd w:val="0"/>
        <w:spacing w:after="0" w:line="276" w:lineRule="auto"/>
        <w:ind w:left="256" w:right="141"/>
        <w:rPr>
          <w:rFonts w:ascii="NewsGotT" w:hAnsi="NewsGotT" w:cs="NewsGotT-Reg"/>
          <w:i/>
          <w:sz w:val="20"/>
          <w:szCs w:val="20"/>
        </w:rPr>
      </w:pPr>
      <w:r w:rsidRPr="00EE0AE9">
        <w:rPr>
          <w:rFonts w:ascii="NewsGotT" w:hAnsi="NewsGotT" w:cs="NewsGotT-Reg"/>
          <w:sz w:val="20"/>
          <w:szCs w:val="20"/>
        </w:rPr>
        <w:t xml:space="preserve">d) O concorrente deverá também apresentar, se aplicável, documentos que contenham os esclarecimentos justificativos da apresentação de um preço anormalmente baixo, quando esse preço resulte, direta ou indiretamente, das peças do procedimento. </w:t>
      </w:r>
      <w:r w:rsidRPr="00EE0AE9">
        <w:rPr>
          <w:rFonts w:ascii="NewsGotT" w:hAnsi="NewsGotT" w:cs="NewsGotT-Reg"/>
          <w:i/>
          <w:sz w:val="20"/>
          <w:szCs w:val="20"/>
          <w:highlight w:val="lightGray"/>
        </w:rPr>
        <w:t>[se aplicável]</w:t>
      </w:r>
    </w:p>
    <w:p w14:paraId="1DA54C95" w14:textId="77777777" w:rsidR="0027644D" w:rsidRPr="00EE0AE9" w:rsidRDefault="0027644D" w:rsidP="0027644D">
      <w:pPr>
        <w:autoSpaceDE w:val="0"/>
        <w:autoSpaceDN w:val="0"/>
        <w:adjustRightInd w:val="0"/>
        <w:spacing w:after="0" w:line="276" w:lineRule="auto"/>
        <w:ind w:left="256" w:right="141"/>
        <w:rPr>
          <w:rFonts w:ascii="NewsGotT" w:hAnsi="NewsGotT" w:cs="NewsGotT-Reg"/>
          <w:color w:val="000000"/>
          <w:sz w:val="20"/>
          <w:szCs w:val="20"/>
        </w:rPr>
      </w:pPr>
      <w:r w:rsidRPr="00EE0AE9">
        <w:rPr>
          <w:rFonts w:ascii="NewsGotT" w:hAnsi="NewsGotT" w:cs="NewsGotT-Reg"/>
          <w:color w:val="000000"/>
          <w:sz w:val="20"/>
          <w:szCs w:val="20"/>
        </w:rPr>
        <w:t>e) O concorrente pode ainda apresentar outros documentos que considere indispensáveis para a análise da proposta.</w:t>
      </w:r>
    </w:p>
    <w:p w14:paraId="6977C253"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p>
    <w:p w14:paraId="3266DB98" w14:textId="77777777" w:rsidR="0027644D" w:rsidRPr="00EE0AE9" w:rsidRDefault="0027644D" w:rsidP="0027644D">
      <w:pPr>
        <w:numPr>
          <w:ilvl w:val="0"/>
          <w:numId w:val="5"/>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b/>
          <w:sz w:val="20"/>
          <w:lang w:eastAsia="pt-PT"/>
        </w:rPr>
        <w:t>Preço base</w:t>
      </w:r>
    </w:p>
    <w:p w14:paraId="2F033036" w14:textId="77777777" w:rsidR="0027644D" w:rsidRPr="00EE0AE9" w:rsidRDefault="0027644D" w:rsidP="0027644D">
      <w:pPr>
        <w:tabs>
          <w:tab w:val="left" w:pos="8505"/>
        </w:tabs>
        <w:spacing w:after="0" w:line="276" w:lineRule="auto"/>
        <w:ind w:right="142"/>
        <w:rPr>
          <w:rFonts w:ascii="NewsGotT" w:hAnsi="NewsGotT" w:cs="NewsGotT"/>
          <w:kern w:val="20"/>
          <w:sz w:val="20"/>
          <w:szCs w:val="20"/>
        </w:rPr>
      </w:pPr>
      <w:r w:rsidRPr="00EE0AE9">
        <w:rPr>
          <w:rFonts w:ascii="NewsGotT" w:hAnsi="NewsGotT" w:cs="NewsGotT"/>
          <w:kern w:val="20"/>
          <w:sz w:val="20"/>
          <w:szCs w:val="20"/>
        </w:rPr>
        <w:t xml:space="preserve">O preço máximo que a entidade adjudicante se dispõe a pagar pela execução de todas as prestações que constituem o objeto do contrato a celebrar é estabelecido em </w:t>
      </w:r>
      <w:r w:rsidRPr="00EE0AE9">
        <w:rPr>
          <w:rFonts w:ascii="NewsGotT" w:hAnsi="NewsGotT" w:cs="NewsGotT"/>
          <w:b/>
          <w:sz w:val="20"/>
          <w:highlight w:val="lightGray"/>
        </w:rPr>
        <w:t>________</w:t>
      </w:r>
      <w:r w:rsidRPr="00EE0AE9">
        <w:rPr>
          <w:rFonts w:ascii="Times New Roman" w:hAnsi="Times New Roman" w:cs="Times New Roman"/>
          <w:b/>
          <w:sz w:val="20"/>
          <w:highlight w:val="lightGray"/>
        </w:rPr>
        <w:t>€</w:t>
      </w:r>
      <w:r w:rsidRPr="00EE0AE9">
        <w:rPr>
          <w:rFonts w:ascii="NewsGotT" w:hAnsi="NewsGotT" w:cs="NewsGotT"/>
          <w:b/>
          <w:sz w:val="20"/>
          <w:highlight w:val="lightGray"/>
        </w:rPr>
        <w:t xml:space="preserve"> </w:t>
      </w:r>
      <w:r w:rsidRPr="00EE0AE9">
        <w:rPr>
          <w:rFonts w:ascii="NewsGotT" w:hAnsi="NewsGotT" w:cs="NewsGotT"/>
          <w:sz w:val="20"/>
          <w:highlight w:val="lightGray"/>
        </w:rPr>
        <w:t>(por extenso)</w:t>
      </w:r>
      <w:r w:rsidRPr="00EE0AE9">
        <w:rPr>
          <w:rFonts w:ascii="NewsGotT" w:hAnsi="NewsGotT" w:cs="NewsGotT"/>
          <w:kern w:val="20"/>
          <w:sz w:val="20"/>
          <w:szCs w:val="20"/>
        </w:rPr>
        <w:t>, acrescido de IVA à taxa legal em vigor, se legalmente devido,</w:t>
      </w:r>
      <w:r w:rsidRPr="00EE0AE9">
        <w:rPr>
          <w:rFonts w:ascii="NewsGotT" w:hAnsi="NewsGotT" w:cs="NewsGotT"/>
          <w:sz w:val="20"/>
        </w:rPr>
        <w:t xml:space="preserve"> incluindo as respetivas renovações, nos termos do n.º 1 do artigo 47.º do CCP.</w:t>
      </w:r>
      <w:r w:rsidRPr="00EE0AE9">
        <w:rPr>
          <w:rFonts w:ascii="NewsGotT" w:hAnsi="NewsGotT" w:cs="NewsGotT"/>
          <w:kern w:val="20"/>
          <w:sz w:val="20"/>
          <w:szCs w:val="20"/>
        </w:rPr>
        <w:t xml:space="preserve"> </w:t>
      </w:r>
    </w:p>
    <w:p w14:paraId="285D40DD" w14:textId="77777777" w:rsidR="0027644D" w:rsidRPr="00EE0AE9" w:rsidRDefault="0027644D" w:rsidP="0027644D">
      <w:pPr>
        <w:tabs>
          <w:tab w:val="left" w:pos="8505"/>
        </w:tabs>
        <w:spacing w:after="0" w:line="276" w:lineRule="auto"/>
        <w:ind w:right="142"/>
        <w:rPr>
          <w:rFonts w:ascii="NewsGotT" w:hAnsi="NewsGotT" w:cs="NewsGotT"/>
          <w:kern w:val="20"/>
          <w:sz w:val="20"/>
          <w:szCs w:val="20"/>
        </w:rPr>
      </w:pPr>
    </w:p>
    <w:p w14:paraId="1C8E2F6F" w14:textId="77777777" w:rsidR="0027644D" w:rsidRPr="00EE0AE9" w:rsidRDefault="0027644D" w:rsidP="0027644D">
      <w:pPr>
        <w:numPr>
          <w:ilvl w:val="0"/>
          <w:numId w:val="5"/>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cs="NewsGotT"/>
          <w:b/>
          <w:sz w:val="20"/>
          <w:lang w:eastAsia="pt-PT"/>
        </w:rPr>
        <w:t>Indicação do preço</w:t>
      </w:r>
    </w:p>
    <w:p w14:paraId="15BE844D"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Os preços constantes da proposta devem ser indicados em algarismos e não incluir o IVA.</w:t>
      </w:r>
    </w:p>
    <w:p w14:paraId="48E642AF"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A proposta deve mencionar que ao preço total acresce o IVA, indicando o respetivo valor e a taxa legal aplicável.</w:t>
      </w:r>
    </w:p>
    <w:p w14:paraId="4498FCB4"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Quando os preços constantes da proposta forem também indicados por extenso, em caso de qualquer divergência, estes prevalecem, para todos os efeitos, sobre os indicados em algarismos. Sempre que na proposta sejam indicados vários preços, em caso de qualquer divergência entre eles, prevalecem sempre, para todos os efeitos, os parciais, unitários ou não, mais decompostos.</w:t>
      </w:r>
    </w:p>
    <w:p w14:paraId="3C236A05"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p>
    <w:p w14:paraId="35A7197C" w14:textId="77777777" w:rsidR="0027644D" w:rsidRPr="00EE0AE9" w:rsidRDefault="0027644D" w:rsidP="0027644D">
      <w:pPr>
        <w:widowControl w:val="0"/>
        <w:numPr>
          <w:ilvl w:val="0"/>
          <w:numId w:val="5"/>
        </w:numPr>
        <w:tabs>
          <w:tab w:val="left" w:pos="851"/>
        </w:tabs>
        <w:autoSpaceDE w:val="0"/>
        <w:autoSpaceDN w:val="0"/>
        <w:adjustRightInd w:val="0"/>
        <w:spacing w:after="0" w:line="276" w:lineRule="auto"/>
        <w:ind w:right="215"/>
        <w:jc w:val="both"/>
        <w:rPr>
          <w:rFonts w:ascii="NewsGotT" w:hAnsi="NewsGotT"/>
          <w:b/>
          <w:sz w:val="20"/>
          <w:szCs w:val="20"/>
        </w:rPr>
      </w:pPr>
      <w:r w:rsidRPr="00EE0AE9">
        <w:rPr>
          <w:rFonts w:ascii="NewsGotT" w:hAnsi="NewsGotT" w:cs="NewsGotT-Bol"/>
          <w:b/>
          <w:color w:val="000000"/>
          <w:sz w:val="20"/>
          <w:szCs w:val="20"/>
        </w:rPr>
        <w:t>Idioma dos documentos da proposta</w:t>
      </w:r>
    </w:p>
    <w:p w14:paraId="66897174"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rPr>
        <w:lastRenderedPageBreak/>
        <w:t>Os documentos que constituem a proposta devem ser redigidos em língua portuguesa ou, não o sendo, devem ser acompanhadas de tradução devidamente legalizada e em relação à qual o concorrente declara, para todos efeitos, aceitar prevalência sobre os respetivos originais.</w:t>
      </w:r>
      <w:r w:rsidRPr="00EE0AE9">
        <w:rPr>
          <w:rFonts w:ascii="NewsGotT" w:hAnsi="NewsGotT" w:cs="NewsGotT-Bol"/>
          <w:color w:val="000000"/>
          <w:sz w:val="20"/>
          <w:szCs w:val="20"/>
          <w:highlight w:val="lightGray"/>
        </w:rPr>
        <w:t xml:space="preserve"> [com exceção dos documentos referidos </w:t>
      </w:r>
      <w:r w:rsidRPr="00EE0AE9">
        <w:rPr>
          <w:rFonts w:ascii="NewsGotT" w:hAnsi="NewsGotT" w:cs="NewsGotT-Bol"/>
          <w:i/>
          <w:color w:val="000000"/>
          <w:sz w:val="20"/>
          <w:szCs w:val="20"/>
          <w:highlight w:val="lightGray"/>
        </w:rPr>
        <w:t>(indicar quais)</w:t>
      </w:r>
      <w:r w:rsidRPr="00EE0AE9">
        <w:rPr>
          <w:rFonts w:ascii="NewsGotT" w:hAnsi="NewsGotT" w:cs="NewsGotT-Bol"/>
          <w:color w:val="000000"/>
          <w:sz w:val="20"/>
          <w:szCs w:val="20"/>
          <w:highlight w:val="lightGray"/>
        </w:rPr>
        <w:t xml:space="preserve"> que podem ser redigidos em língua [</w:t>
      </w:r>
      <w:r w:rsidRPr="00EE0AE9">
        <w:rPr>
          <w:rFonts w:ascii="NewsGotT" w:hAnsi="NewsGotT" w:cs="NewsGotT-Bol"/>
          <w:i/>
          <w:color w:val="000000"/>
          <w:sz w:val="20"/>
          <w:szCs w:val="20"/>
          <w:highlight w:val="lightGray"/>
        </w:rPr>
        <w:t>(indicar outras línguas permitidas)</w:t>
      </w:r>
      <w:r w:rsidRPr="00EE0AE9">
        <w:rPr>
          <w:rFonts w:ascii="NewsGotT" w:hAnsi="NewsGotT" w:cs="NewsGotT-Bol"/>
          <w:color w:val="000000"/>
          <w:sz w:val="20"/>
          <w:szCs w:val="20"/>
          <w:highlight w:val="lightGray"/>
        </w:rPr>
        <w:t xml:space="preserve"> - </w:t>
      </w:r>
      <w:r w:rsidRPr="00EE0AE9">
        <w:rPr>
          <w:rFonts w:ascii="NewsGotT" w:hAnsi="NewsGotT" w:cs="NewsGotT-Bol"/>
          <w:i/>
          <w:color w:val="000000"/>
          <w:sz w:val="20"/>
          <w:szCs w:val="20"/>
          <w:highlight w:val="lightGray"/>
        </w:rPr>
        <w:t>se aplicável</w:t>
      </w:r>
      <w:r w:rsidRPr="00EE0AE9">
        <w:rPr>
          <w:rFonts w:ascii="NewsGotT" w:hAnsi="NewsGotT" w:cs="NewsGotT-Bol"/>
          <w:color w:val="000000"/>
          <w:sz w:val="20"/>
          <w:szCs w:val="20"/>
          <w:highlight w:val="lightGray"/>
        </w:rPr>
        <w:t>]</w:t>
      </w:r>
      <w:r w:rsidRPr="00EE0AE9">
        <w:rPr>
          <w:rFonts w:ascii="NewsGotT" w:hAnsi="NewsGotT" w:cs="NewsGotT-Bol"/>
          <w:color w:val="000000"/>
          <w:sz w:val="20"/>
          <w:szCs w:val="20"/>
        </w:rPr>
        <w:t>.</w:t>
      </w:r>
    </w:p>
    <w:p w14:paraId="41D24CF3" w14:textId="77777777" w:rsidR="0027644D" w:rsidRPr="00EE0AE9" w:rsidRDefault="0027644D" w:rsidP="0027644D">
      <w:pPr>
        <w:tabs>
          <w:tab w:val="center" w:pos="4252"/>
          <w:tab w:val="right" w:pos="8504"/>
        </w:tabs>
        <w:spacing w:after="0" w:line="276" w:lineRule="auto"/>
        <w:ind w:right="213"/>
        <w:rPr>
          <w:rFonts w:ascii="NewsGotT" w:hAnsi="NewsGotT" w:cs="NewsGotT-Bol"/>
          <w:color w:val="000000"/>
          <w:sz w:val="20"/>
        </w:rPr>
      </w:pPr>
    </w:p>
    <w:p w14:paraId="3BDEF000" w14:textId="77777777" w:rsidR="0027644D" w:rsidRPr="00EE0AE9" w:rsidRDefault="0027644D" w:rsidP="0027644D">
      <w:pPr>
        <w:numPr>
          <w:ilvl w:val="0"/>
          <w:numId w:val="5"/>
        </w:numPr>
        <w:tabs>
          <w:tab w:val="center" w:pos="4252"/>
          <w:tab w:val="right" w:pos="8504"/>
        </w:tabs>
        <w:spacing w:after="0" w:line="276" w:lineRule="auto"/>
        <w:ind w:right="213"/>
        <w:rPr>
          <w:rFonts w:ascii="NewsGotT" w:hAnsi="NewsGotT" w:cs="NewsGotT-Bol"/>
          <w:b/>
          <w:color w:val="000000"/>
          <w:sz w:val="20"/>
        </w:rPr>
      </w:pPr>
      <w:r w:rsidRPr="00EE0AE9">
        <w:rPr>
          <w:rFonts w:ascii="NewsGotT" w:hAnsi="NewsGotT" w:cs="NewsGotT-Bol"/>
          <w:b/>
          <w:color w:val="000000"/>
          <w:sz w:val="20"/>
        </w:rPr>
        <w:t>Propostas Variantes</w:t>
      </w:r>
    </w:p>
    <w:p w14:paraId="72AA1527"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i/>
          <w:color w:val="000000"/>
          <w:sz w:val="20"/>
          <w:szCs w:val="20"/>
          <w:highlight w:val="lightGray"/>
        </w:rPr>
        <w:t>(É/Não é)</w:t>
      </w:r>
      <w:r w:rsidRPr="00EE0AE9">
        <w:rPr>
          <w:rFonts w:ascii="NewsGotT" w:hAnsi="NewsGotT" w:cs="NewsGotT-Bol"/>
          <w:color w:val="000000"/>
          <w:sz w:val="20"/>
          <w:szCs w:val="20"/>
        </w:rPr>
        <w:t xml:space="preserve"> permitida a apresentação de </w:t>
      </w:r>
      <w:r w:rsidRPr="00EE0AE9">
        <w:rPr>
          <w:rFonts w:ascii="NewsGotT" w:hAnsi="NewsGotT" w:cs="NewsGotT-Bol"/>
          <w:i/>
          <w:color w:val="000000"/>
          <w:sz w:val="20"/>
          <w:szCs w:val="20"/>
          <w:highlight w:val="lightGray"/>
        </w:rPr>
        <w:t>(indicar quantidade)</w:t>
      </w:r>
      <w:r w:rsidRPr="00EE0AE9">
        <w:rPr>
          <w:rFonts w:ascii="NewsGotT" w:hAnsi="NewsGotT" w:cs="NewsGotT-Bol"/>
          <w:color w:val="000000"/>
          <w:sz w:val="20"/>
          <w:szCs w:val="20"/>
        </w:rPr>
        <w:t xml:space="preserve"> propostas variantes.</w:t>
      </w:r>
    </w:p>
    <w:p w14:paraId="01FA5B41"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highlight w:val="lightGray"/>
        </w:rPr>
        <w:t>[Às propostas variantes aplica-se o disposto nos pontos anteriores, devendo ser identificadas com a expressão “Proposta variante n.º_____”</w:t>
      </w:r>
      <w:r w:rsidRPr="00EE0AE9">
        <w:rPr>
          <w:rFonts w:ascii="NewsGotT" w:hAnsi="NewsGotT" w:cs="NewsGotT-Bol"/>
          <w:i/>
          <w:color w:val="000000"/>
          <w:sz w:val="20"/>
          <w:szCs w:val="20"/>
          <w:highlight w:val="lightGray"/>
        </w:rPr>
        <w:t xml:space="preserve"> (se admitidas)</w:t>
      </w:r>
      <w:r w:rsidRPr="00EE0AE9">
        <w:rPr>
          <w:rFonts w:ascii="NewsGotT" w:hAnsi="NewsGotT" w:cs="NewsGotT-Bol"/>
          <w:color w:val="000000"/>
          <w:sz w:val="20"/>
          <w:szCs w:val="20"/>
          <w:highlight w:val="lightGray"/>
        </w:rPr>
        <w:t>]</w:t>
      </w:r>
      <w:r w:rsidRPr="00EE0AE9">
        <w:rPr>
          <w:rFonts w:ascii="NewsGotT" w:hAnsi="NewsGotT" w:cs="NewsGotT-Bol"/>
          <w:color w:val="000000"/>
          <w:sz w:val="20"/>
          <w:szCs w:val="20"/>
        </w:rPr>
        <w:t>.</w:t>
      </w:r>
    </w:p>
    <w:p w14:paraId="7C8B773E"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 xml:space="preserve">O concorrente é obrigado a apresentar proposta base, nos termos do n.º 2 do artigo 59.º do CCP. </w:t>
      </w:r>
      <w:r w:rsidRPr="00EE0AE9">
        <w:rPr>
          <w:rFonts w:ascii="NewsGotT" w:hAnsi="NewsGotT" w:cs="NewsGotT-Bol"/>
          <w:color w:val="000000"/>
          <w:sz w:val="20"/>
          <w:szCs w:val="20"/>
          <w:highlight w:val="lightGray"/>
        </w:rPr>
        <w:t xml:space="preserve">[apenas aplicável na hipótese </w:t>
      </w:r>
      <w:proofErr w:type="gramStart"/>
      <w:r w:rsidRPr="00EE0AE9">
        <w:rPr>
          <w:rFonts w:ascii="NewsGotT" w:hAnsi="NewsGotT" w:cs="NewsGotT-Bol"/>
          <w:color w:val="000000"/>
          <w:sz w:val="20"/>
          <w:szCs w:val="20"/>
          <w:highlight w:val="lightGray"/>
        </w:rPr>
        <w:t>do</w:t>
      </w:r>
      <w:proofErr w:type="gramEnd"/>
      <w:r w:rsidRPr="00EE0AE9">
        <w:rPr>
          <w:rFonts w:ascii="NewsGotT" w:hAnsi="NewsGotT" w:cs="NewsGotT-Bol"/>
          <w:color w:val="000000"/>
          <w:sz w:val="20"/>
          <w:szCs w:val="20"/>
          <w:highlight w:val="lightGray"/>
        </w:rPr>
        <w:t xml:space="preserve"> convite admitir a apresentação de propostas variantes]</w:t>
      </w:r>
    </w:p>
    <w:p w14:paraId="0D6A934B" w14:textId="77777777" w:rsidR="0027644D" w:rsidRPr="00EE0AE9" w:rsidRDefault="0027644D" w:rsidP="0027644D">
      <w:pPr>
        <w:tabs>
          <w:tab w:val="center" w:pos="4252"/>
          <w:tab w:val="right" w:pos="8504"/>
        </w:tabs>
        <w:spacing w:after="0" w:line="276" w:lineRule="auto"/>
        <w:ind w:right="213"/>
        <w:rPr>
          <w:rFonts w:ascii="NewsGotT" w:hAnsi="NewsGotT" w:cs="NewsGotT-Bol"/>
          <w:color w:val="000000"/>
          <w:sz w:val="20"/>
        </w:rPr>
      </w:pPr>
    </w:p>
    <w:p w14:paraId="4CA161E9" w14:textId="77777777" w:rsidR="0027644D" w:rsidRPr="00EE0AE9" w:rsidRDefault="0027644D" w:rsidP="0027644D">
      <w:pPr>
        <w:numPr>
          <w:ilvl w:val="0"/>
          <w:numId w:val="5"/>
        </w:numPr>
        <w:tabs>
          <w:tab w:val="center" w:pos="4252"/>
          <w:tab w:val="right" w:pos="8504"/>
        </w:tabs>
        <w:spacing w:after="0" w:line="276" w:lineRule="auto"/>
        <w:ind w:right="213"/>
        <w:rPr>
          <w:rFonts w:ascii="NewsGotT" w:hAnsi="NewsGotT" w:cs="NewsGotT-Bol"/>
          <w:b/>
          <w:color w:val="000000"/>
          <w:sz w:val="20"/>
        </w:rPr>
      </w:pPr>
      <w:r w:rsidRPr="00EE0AE9">
        <w:rPr>
          <w:rFonts w:ascii="NewsGotT" w:hAnsi="NewsGotT" w:cs="NewsGotT-Reg"/>
          <w:b/>
          <w:color w:val="000000"/>
          <w:sz w:val="20"/>
        </w:rPr>
        <w:t>Prazo de manutenção das propostas</w:t>
      </w:r>
    </w:p>
    <w:p w14:paraId="6636144A" w14:textId="77777777" w:rsidR="0027644D" w:rsidRPr="00EE0AE9" w:rsidRDefault="0027644D" w:rsidP="0027644D">
      <w:pPr>
        <w:tabs>
          <w:tab w:val="center" w:pos="4252"/>
          <w:tab w:val="right" w:pos="8504"/>
        </w:tabs>
        <w:spacing w:after="0" w:line="276" w:lineRule="auto"/>
        <w:ind w:right="213"/>
        <w:rPr>
          <w:rFonts w:ascii="NewsGotT" w:hAnsi="NewsGotT"/>
          <w:sz w:val="20"/>
        </w:rPr>
      </w:pPr>
      <w:r w:rsidRPr="00EE0AE9">
        <w:rPr>
          <w:rFonts w:ascii="NewsGotT" w:hAnsi="NewsGotT"/>
          <w:sz w:val="20"/>
        </w:rPr>
        <w:t xml:space="preserve">O concorrente fica obrigado a manter a respetiva proposta pelo prazo de </w:t>
      </w:r>
      <w:r w:rsidRPr="00EE0AE9">
        <w:rPr>
          <w:rFonts w:ascii="NewsGotT" w:hAnsi="NewsGotT"/>
          <w:sz w:val="20"/>
          <w:highlight w:val="lightGray"/>
        </w:rPr>
        <w:t>90 dias</w:t>
      </w:r>
      <w:r w:rsidRPr="00EE0AE9">
        <w:rPr>
          <w:rFonts w:ascii="NewsGotT" w:hAnsi="NewsGotT"/>
          <w:sz w:val="20"/>
        </w:rPr>
        <w:t xml:space="preserve"> contados da data limita para a sua entrega nos termos do artigo 65.º do CCP.</w:t>
      </w:r>
    </w:p>
    <w:p w14:paraId="43B54342" w14:textId="77777777" w:rsidR="0027644D" w:rsidRPr="00EE0AE9" w:rsidRDefault="0027644D" w:rsidP="0027644D">
      <w:pPr>
        <w:tabs>
          <w:tab w:val="center" w:pos="4252"/>
          <w:tab w:val="right" w:pos="8504"/>
        </w:tabs>
        <w:spacing w:after="0" w:line="276" w:lineRule="auto"/>
        <w:ind w:right="213"/>
        <w:rPr>
          <w:rFonts w:ascii="NewsGotT" w:hAnsi="NewsGotT"/>
          <w:sz w:val="20"/>
        </w:rPr>
      </w:pPr>
    </w:p>
    <w:p w14:paraId="1BE215CB" w14:textId="77777777" w:rsidR="0027644D" w:rsidRPr="00EE0AE9" w:rsidRDefault="0027644D" w:rsidP="0027644D">
      <w:pPr>
        <w:numPr>
          <w:ilvl w:val="0"/>
          <w:numId w:val="5"/>
        </w:numPr>
        <w:tabs>
          <w:tab w:val="center" w:pos="4252"/>
          <w:tab w:val="right" w:pos="8504"/>
        </w:tabs>
        <w:spacing w:after="0" w:line="276" w:lineRule="auto"/>
        <w:ind w:right="215"/>
        <w:rPr>
          <w:rFonts w:ascii="NewsGotT" w:hAnsi="NewsGotT" w:cs="NewsGotT"/>
          <w:b/>
          <w:sz w:val="20"/>
          <w:lang w:eastAsia="pt-PT"/>
        </w:rPr>
      </w:pPr>
      <w:r w:rsidRPr="00EE0AE9">
        <w:rPr>
          <w:rFonts w:ascii="NewsGotT" w:hAnsi="NewsGotT" w:cs="NewsGotT"/>
          <w:b/>
          <w:sz w:val="20"/>
          <w:lang w:eastAsia="pt-PT"/>
        </w:rPr>
        <w:t xml:space="preserve">Caução </w:t>
      </w:r>
    </w:p>
    <w:p w14:paraId="4B6AC5EA"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r w:rsidRPr="00EE0AE9">
        <w:rPr>
          <w:rFonts w:ascii="NewsGotT" w:hAnsi="NewsGotT" w:cs="NewsGotT"/>
          <w:sz w:val="20"/>
          <w:lang w:eastAsia="pt-PT"/>
        </w:rPr>
        <w:t xml:space="preserve">Não é exigida a prestação de caução, ao abrigo do n.º 2 do artigo 88.º do CCP. </w:t>
      </w:r>
      <w:r w:rsidRPr="00EE0AE9">
        <w:rPr>
          <w:rFonts w:ascii="NewsGotT" w:hAnsi="NewsGotT" w:cs="NewsGotT"/>
          <w:i/>
          <w:sz w:val="20"/>
          <w:highlight w:val="lightGray"/>
          <w:lang w:eastAsia="pt-PT"/>
        </w:rPr>
        <w:t>[se for exigida, deve ser indicada a respetiva percentagem e o modo de prestação]</w:t>
      </w:r>
      <w:r w:rsidRPr="00EE0AE9">
        <w:rPr>
          <w:rFonts w:ascii="NewsGotT" w:hAnsi="NewsGotT" w:cs="NewsGotT"/>
          <w:sz w:val="20"/>
          <w:lang w:eastAsia="pt-PT"/>
        </w:rPr>
        <w:t>.</w:t>
      </w:r>
    </w:p>
    <w:p w14:paraId="5A37928D" w14:textId="77777777" w:rsidR="0027644D" w:rsidRPr="00EE0AE9" w:rsidRDefault="0027644D" w:rsidP="0027644D">
      <w:pPr>
        <w:tabs>
          <w:tab w:val="center" w:pos="4252"/>
          <w:tab w:val="right" w:pos="8504"/>
        </w:tabs>
        <w:spacing w:after="0" w:line="276" w:lineRule="auto"/>
        <w:rPr>
          <w:rFonts w:ascii="NewsGotT" w:hAnsi="NewsGotT" w:cs="NewsGotT"/>
          <w:sz w:val="20"/>
          <w:lang w:eastAsia="pt-PT"/>
        </w:rPr>
      </w:pPr>
    </w:p>
    <w:p w14:paraId="20FDFE52" w14:textId="77777777" w:rsidR="0027644D" w:rsidRPr="00EE0AE9" w:rsidRDefault="0027644D" w:rsidP="0027644D">
      <w:pPr>
        <w:numPr>
          <w:ilvl w:val="0"/>
          <w:numId w:val="5"/>
        </w:numPr>
        <w:tabs>
          <w:tab w:val="center" w:pos="4252"/>
          <w:tab w:val="right" w:pos="8504"/>
        </w:tabs>
        <w:spacing w:after="0" w:line="276" w:lineRule="auto"/>
        <w:ind w:right="215"/>
        <w:rPr>
          <w:rFonts w:ascii="NewsGotT" w:hAnsi="NewsGotT"/>
          <w:b/>
          <w:sz w:val="20"/>
          <w:lang w:eastAsia="pt-PT"/>
        </w:rPr>
      </w:pPr>
      <w:r w:rsidRPr="00EE0AE9">
        <w:rPr>
          <w:rFonts w:ascii="NewsGotT" w:hAnsi="NewsGotT"/>
          <w:b/>
          <w:sz w:val="20"/>
          <w:lang w:eastAsia="pt-PT"/>
        </w:rPr>
        <w:t>Critério de adjudicação</w:t>
      </w:r>
    </w:p>
    <w:p w14:paraId="4B125420" w14:textId="77777777" w:rsidR="0027644D" w:rsidRPr="00EE0AE9" w:rsidRDefault="0027644D" w:rsidP="0027644D">
      <w:pPr>
        <w:tabs>
          <w:tab w:val="left" w:pos="567"/>
        </w:tabs>
        <w:autoSpaceDE w:val="0"/>
        <w:autoSpaceDN w:val="0"/>
        <w:adjustRightInd w:val="0"/>
        <w:spacing w:after="0" w:line="276" w:lineRule="auto"/>
        <w:ind w:right="141"/>
        <w:rPr>
          <w:rFonts w:ascii="NewsGotT" w:hAnsi="NewsGotT" w:cs="NewsGotT-Bol"/>
          <w:color w:val="000000"/>
          <w:sz w:val="20"/>
          <w:szCs w:val="20"/>
        </w:rPr>
      </w:pPr>
      <w:r w:rsidRPr="00EE0AE9">
        <w:rPr>
          <w:rFonts w:ascii="NewsGotT" w:hAnsi="NewsGotT" w:cs="NewsGotT-Bol"/>
          <w:color w:val="000000"/>
          <w:sz w:val="20"/>
          <w:szCs w:val="20"/>
        </w:rPr>
        <w:t xml:space="preserve">Quando o convite é dirigido a uma única entidade, a adjudicação consiste na aceitação da única proposta apresentada, como resulta da primeira parte do n.º 1 do artigo 73.º do CCP. </w:t>
      </w:r>
    </w:p>
    <w:p w14:paraId="19321C48" w14:textId="77777777" w:rsidR="0027644D" w:rsidRPr="00EE0AE9" w:rsidRDefault="0027644D" w:rsidP="0027644D">
      <w:pPr>
        <w:autoSpaceDE w:val="0"/>
        <w:autoSpaceDN w:val="0"/>
        <w:adjustRightInd w:val="0"/>
        <w:spacing w:after="0" w:line="276" w:lineRule="auto"/>
        <w:ind w:right="141"/>
        <w:rPr>
          <w:rFonts w:ascii="NewsGotT" w:hAnsi="NewsGotT" w:cs="NewsGotT-Bol"/>
          <w:color w:val="000000"/>
          <w:sz w:val="20"/>
          <w:szCs w:val="20"/>
          <w:highlight w:val="lightGray"/>
        </w:rPr>
      </w:pPr>
    </w:p>
    <w:p w14:paraId="3273A2AA" w14:textId="77777777" w:rsidR="0027644D" w:rsidRPr="00EE0AE9" w:rsidRDefault="0027644D" w:rsidP="0027644D">
      <w:pPr>
        <w:autoSpaceDE w:val="0"/>
        <w:autoSpaceDN w:val="0"/>
        <w:adjustRightInd w:val="0"/>
        <w:spacing w:after="0" w:line="276" w:lineRule="auto"/>
        <w:ind w:right="141"/>
        <w:rPr>
          <w:rFonts w:ascii="NewsGotT" w:hAnsi="NewsGotT" w:cs="NewsGotT-Reg"/>
          <w:b/>
          <w:color w:val="000000"/>
          <w:sz w:val="20"/>
          <w:szCs w:val="20"/>
        </w:rPr>
      </w:pPr>
      <w:r w:rsidRPr="00EE0AE9">
        <w:rPr>
          <w:rFonts w:ascii="NewsGotT" w:hAnsi="NewsGotT" w:cs="NewsGotT-Reg"/>
          <w:b/>
          <w:color w:val="000000"/>
          <w:sz w:val="20"/>
          <w:szCs w:val="20"/>
        </w:rPr>
        <w:t>17. Negociação das propostas</w:t>
      </w:r>
    </w:p>
    <w:p w14:paraId="1934298E"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 xml:space="preserve">No caso de apresentação de uma única proposta não há lugar à fase de negociação, </w:t>
      </w:r>
      <w:proofErr w:type="gramStart"/>
      <w:r w:rsidRPr="00EE0AE9">
        <w:rPr>
          <w:rFonts w:ascii="NewsGotT" w:hAnsi="NewsGotT" w:cs="NewsGotT-Reg"/>
          <w:color w:val="000000"/>
          <w:sz w:val="20"/>
          <w:szCs w:val="20"/>
        </w:rPr>
        <w:t>podendo porém</w:t>
      </w:r>
      <w:proofErr w:type="gramEnd"/>
      <w:r w:rsidRPr="00EE0AE9">
        <w:rPr>
          <w:rFonts w:ascii="NewsGotT" w:hAnsi="NewsGotT" w:cs="NewsGotT-Reg"/>
          <w:color w:val="000000"/>
          <w:sz w:val="20"/>
          <w:szCs w:val="20"/>
        </w:rPr>
        <w:t xml:space="preserve"> o concorrente ser convidado a melhorar a sua proposta, conforme previsto no n.º 2 do artigo 125.º do CCP.</w:t>
      </w:r>
    </w:p>
    <w:p w14:paraId="012ADF3E"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p>
    <w:p w14:paraId="64C2F8E8" w14:textId="77777777" w:rsidR="0027644D" w:rsidRPr="00EE0AE9" w:rsidRDefault="0027644D" w:rsidP="0027644D">
      <w:pPr>
        <w:autoSpaceDE w:val="0"/>
        <w:autoSpaceDN w:val="0"/>
        <w:adjustRightInd w:val="0"/>
        <w:spacing w:after="0" w:line="276" w:lineRule="auto"/>
        <w:ind w:right="141"/>
        <w:rPr>
          <w:rFonts w:ascii="NewsGotT" w:hAnsi="NewsGotT" w:cs="NewsGotT-Reg"/>
          <w:b/>
          <w:color w:val="000000"/>
          <w:sz w:val="20"/>
          <w:szCs w:val="20"/>
        </w:rPr>
      </w:pPr>
      <w:r w:rsidRPr="00EE0AE9">
        <w:rPr>
          <w:rFonts w:ascii="NewsGotT" w:hAnsi="NewsGotT" w:cs="NewsGotT-Reg"/>
          <w:b/>
          <w:color w:val="000000"/>
          <w:sz w:val="20"/>
          <w:szCs w:val="20"/>
        </w:rPr>
        <w:t xml:space="preserve">18. Documentos de habilitação </w:t>
      </w:r>
      <w:r w:rsidRPr="00EE0AE9">
        <w:rPr>
          <w:rFonts w:ascii="NewsGotT" w:hAnsi="NewsGotT" w:cs="NewsGotT-Bol"/>
          <w:i/>
          <w:color w:val="000000"/>
          <w:sz w:val="20"/>
          <w:szCs w:val="20"/>
          <w:highlight w:val="lightGray"/>
        </w:rPr>
        <w:t>[acrescentar/eliminar o que corresponde ao caso em concreto]</w:t>
      </w:r>
    </w:p>
    <w:p w14:paraId="26D3BCA4"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 xml:space="preserve">18.1. No caso de adjudicação, o concorrente deve apresentar, no prazo de </w:t>
      </w:r>
      <w:r w:rsidRPr="00EE0AE9">
        <w:rPr>
          <w:rFonts w:ascii="NewsGotT" w:hAnsi="NewsGotT" w:cs="NewsGotT-Reg"/>
          <w:color w:val="000000"/>
          <w:sz w:val="20"/>
          <w:szCs w:val="20"/>
          <w:highlight w:val="lightGray"/>
        </w:rPr>
        <w:t xml:space="preserve">__ </w:t>
      </w:r>
      <w:r w:rsidRPr="00EE0AE9">
        <w:rPr>
          <w:rFonts w:ascii="NewsGotT" w:hAnsi="NewsGotT" w:cs="NewsGotT-Reg"/>
          <w:color w:val="000000"/>
          <w:sz w:val="20"/>
          <w:szCs w:val="20"/>
        </w:rPr>
        <w:t xml:space="preserve">dias úteis </w:t>
      </w:r>
      <w:r w:rsidRPr="00EE0AE9">
        <w:rPr>
          <w:rFonts w:ascii="NewsGotT" w:hAnsi="NewsGotT" w:cs="NewsGotT-Reg"/>
          <w:i/>
          <w:color w:val="000000"/>
          <w:sz w:val="20"/>
          <w:szCs w:val="20"/>
        </w:rPr>
        <w:t>[</w:t>
      </w:r>
      <w:r w:rsidRPr="00EE0AE9">
        <w:rPr>
          <w:rFonts w:ascii="NewsGotT" w:hAnsi="NewsGotT" w:cs="NewsGotT-Reg"/>
          <w:i/>
          <w:color w:val="000000"/>
          <w:sz w:val="20"/>
          <w:szCs w:val="20"/>
          <w:highlight w:val="lightGray"/>
        </w:rPr>
        <w:t>até 5 dias, no máximo]</w:t>
      </w:r>
      <w:r w:rsidRPr="00EE0AE9">
        <w:rPr>
          <w:rFonts w:ascii="NewsGotT" w:hAnsi="NewsGotT" w:cs="NewsGotT-Reg"/>
          <w:color w:val="000000"/>
          <w:sz w:val="20"/>
          <w:szCs w:val="20"/>
        </w:rPr>
        <w:t xml:space="preserve"> a contar da notificação para a sua apresentação, os seguintes documentos de habilitação:</w:t>
      </w:r>
    </w:p>
    <w:p w14:paraId="23F8B526" w14:textId="77777777" w:rsidR="0027644D" w:rsidRPr="00EE0AE9" w:rsidRDefault="0027644D" w:rsidP="0027644D">
      <w:pPr>
        <w:numPr>
          <w:ilvl w:val="0"/>
          <w:numId w:val="4"/>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Declaração do concorrente, </w:t>
      </w:r>
      <w:r w:rsidRPr="00EE0AE9">
        <w:rPr>
          <w:rFonts w:ascii="NewsGotT" w:hAnsi="NewsGotT" w:cs="NewsGotT-Reg"/>
          <w:color w:val="000000"/>
          <w:sz w:val="20"/>
          <w:szCs w:val="20"/>
          <w:u w:val="single"/>
        </w:rPr>
        <w:t xml:space="preserve">elaborada em conformidade com o modelo constante do Anexo </w:t>
      </w:r>
      <w:r w:rsidRPr="00EE0AE9">
        <w:rPr>
          <w:rFonts w:ascii="NewsGotT" w:hAnsi="NewsGotT" w:cs="NewsGotT-Reg"/>
          <w:color w:val="000000"/>
          <w:sz w:val="20"/>
          <w:szCs w:val="20"/>
          <w:highlight w:val="lightGray"/>
          <w:u w:val="single"/>
        </w:rPr>
        <w:t>II</w:t>
      </w:r>
      <w:r w:rsidRPr="00EE0AE9">
        <w:rPr>
          <w:rFonts w:ascii="NewsGotT" w:hAnsi="NewsGotT" w:cs="NewsGotT-Reg"/>
          <w:color w:val="000000"/>
          <w:sz w:val="20"/>
          <w:szCs w:val="20"/>
          <w:u w:val="single"/>
        </w:rPr>
        <w:t xml:space="preserve"> ao presente convite</w:t>
      </w:r>
      <w:r w:rsidRPr="00EE0AE9">
        <w:rPr>
          <w:rFonts w:ascii="NewsGotT" w:hAnsi="NewsGotT" w:cs="NewsGotT-Reg"/>
          <w:color w:val="000000"/>
          <w:sz w:val="20"/>
          <w:szCs w:val="20"/>
        </w:rPr>
        <w:t>;</w:t>
      </w:r>
    </w:p>
    <w:p w14:paraId="174A36EB" w14:textId="77777777" w:rsidR="0027644D" w:rsidRPr="00EE0AE9" w:rsidRDefault="0027644D" w:rsidP="0027644D">
      <w:pPr>
        <w:numPr>
          <w:ilvl w:val="0"/>
          <w:numId w:val="4"/>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Documentos comprovativos que não se encontra nas situações previstas nas alíneas b), d), e), e h) do artigo 55.º do CCP;</w:t>
      </w:r>
    </w:p>
    <w:p w14:paraId="15298D1F" w14:textId="77777777" w:rsidR="0027644D" w:rsidRPr="00EE0AE9" w:rsidRDefault="0027644D" w:rsidP="0027644D">
      <w:pPr>
        <w:numPr>
          <w:ilvl w:val="0"/>
          <w:numId w:val="4"/>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 xml:space="preserve">Certidão do registo comercial, com todas as inscrições em vigor, ou disponibilização do código de acesso para a sua consulta </w:t>
      </w:r>
      <w:r w:rsidRPr="00EE0AE9">
        <w:rPr>
          <w:rFonts w:ascii="NewsGotT" w:hAnsi="NewsGotT" w:cs="NewsGotT-Reg"/>
          <w:i/>
          <w:color w:val="000000"/>
          <w:sz w:val="20"/>
          <w:szCs w:val="20"/>
        </w:rPr>
        <w:t>online</w:t>
      </w:r>
      <w:r w:rsidRPr="00EE0AE9">
        <w:rPr>
          <w:rFonts w:ascii="NewsGotT" w:hAnsi="NewsGotT" w:cs="NewsGotT-Reg"/>
          <w:color w:val="000000"/>
          <w:sz w:val="20"/>
          <w:szCs w:val="20"/>
        </w:rPr>
        <w:t xml:space="preserve">, para identificação dos titulares dos órgãos sociais de administração, direção ou gerência que se encontrem em efetividade de funções; </w:t>
      </w:r>
      <w:r w:rsidRPr="00EE0AE9">
        <w:rPr>
          <w:rFonts w:ascii="NewsGotT" w:hAnsi="NewsGotT" w:cs="NewsGotT-Reg"/>
          <w:i/>
          <w:color w:val="000000"/>
          <w:sz w:val="20"/>
          <w:szCs w:val="20"/>
          <w:highlight w:val="lightGray"/>
        </w:rPr>
        <w:t>[se aplicável]</w:t>
      </w:r>
    </w:p>
    <w:p w14:paraId="76179721" w14:textId="77777777" w:rsidR="0027644D" w:rsidRPr="00EE0AE9" w:rsidRDefault="0027644D" w:rsidP="0027644D">
      <w:pPr>
        <w:numPr>
          <w:ilvl w:val="0"/>
          <w:numId w:val="4"/>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rPr>
        <w:t>Documento comprovativo de registo no Registo Central de Beneficiário Efetivo (</w:t>
      </w:r>
      <w:hyperlink r:id="rId10" w:history="1">
        <w:r w:rsidRPr="00EE0AE9">
          <w:rPr>
            <w:rFonts w:ascii="NewsGotT" w:hAnsi="NewsGotT" w:cs="NewsGotT-Reg"/>
          </w:rPr>
          <w:t>https://rcbe.justica.gov.pt</w:t>
        </w:r>
      </w:hyperlink>
      <w:r w:rsidRPr="00EE0AE9">
        <w:rPr>
          <w:rFonts w:ascii="NewsGotT" w:hAnsi="NewsGotT" w:cs="NewsGotT-Reg"/>
          <w:color w:val="000000"/>
          <w:sz w:val="20"/>
          <w:szCs w:val="20"/>
        </w:rPr>
        <w:t>), de acordo com o disposto no artigo 3.º e na al. b) do n.º 1 do artigo 37.º, ambos da Lei n.º 89/2017, de 21 de agosto, na medida em que o incumprimento das obrigações declarativas previstas no Regime Jurídico do Registo Central do Beneficiário Efetivo proíbe a celebração do contrato decorrente do presente procedimento, constituindo causa de caducidade da adjudicação por força do disposto no artigo 87.º-A do CCP;</w:t>
      </w:r>
      <w:r w:rsidRPr="00EE0AE9">
        <w:rPr>
          <w:rFonts w:ascii="NewsGotT" w:hAnsi="NewsGotT" w:cs="NewsGotT-Reg"/>
          <w:i/>
          <w:color w:val="000000"/>
          <w:sz w:val="20"/>
          <w:szCs w:val="20"/>
        </w:rPr>
        <w:t>[</w:t>
      </w:r>
      <w:r w:rsidRPr="00EE0AE9">
        <w:rPr>
          <w:rFonts w:ascii="NewsGotT" w:hAnsi="NewsGotT" w:cs="NewsGotT-Reg"/>
          <w:i/>
          <w:color w:val="000000"/>
          <w:sz w:val="20"/>
          <w:szCs w:val="20"/>
          <w:highlight w:val="lightGray"/>
        </w:rPr>
        <w:t>se aplicável]</w:t>
      </w:r>
    </w:p>
    <w:p w14:paraId="020DC806" w14:textId="77777777" w:rsidR="0027644D" w:rsidRPr="00EE0AE9" w:rsidRDefault="0027644D" w:rsidP="0027644D">
      <w:pPr>
        <w:numPr>
          <w:ilvl w:val="0"/>
          <w:numId w:val="4"/>
        </w:numPr>
        <w:autoSpaceDE w:val="0"/>
        <w:autoSpaceDN w:val="0"/>
        <w:adjustRightInd w:val="0"/>
        <w:spacing w:after="0" w:line="276" w:lineRule="auto"/>
        <w:ind w:right="141"/>
        <w:jc w:val="both"/>
        <w:rPr>
          <w:rFonts w:ascii="NewsGotT" w:hAnsi="NewsGotT" w:cs="NewsGotT-Reg"/>
          <w:color w:val="000000"/>
          <w:sz w:val="20"/>
          <w:szCs w:val="20"/>
        </w:rPr>
      </w:pPr>
      <w:r w:rsidRPr="00EE0AE9">
        <w:rPr>
          <w:rFonts w:ascii="NewsGotT" w:hAnsi="NewsGotT" w:cs="NewsGotT-Reg"/>
          <w:color w:val="000000"/>
          <w:sz w:val="20"/>
          <w:szCs w:val="20"/>
          <w:highlight w:val="lightGray"/>
        </w:rPr>
        <w:t>[…]</w:t>
      </w:r>
    </w:p>
    <w:p w14:paraId="65BF4B8B"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 xml:space="preserve">18.2. </w:t>
      </w:r>
      <w:r w:rsidRPr="00EE0AE9">
        <w:rPr>
          <w:rFonts w:ascii="NewsGotT" w:hAnsi="NewsGotT" w:cs="TT2BCt00"/>
          <w:sz w:val="20"/>
        </w:rPr>
        <w:t>Quando o adjudicatário for um agrupamento, os documentos referidos no número anterior devem ser entregues por todos os membros que o constituem, nos termos do artigo 6.º da Portaria n.º 372/2017, de 14 de dezembro, por remissão do no n.º 2 do artigo 81.º do Código dos Contratos Públicos.</w:t>
      </w:r>
    </w:p>
    <w:p w14:paraId="76C20AA2"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u w:val="single"/>
        </w:rPr>
      </w:pPr>
      <w:r w:rsidRPr="00EE0AE9">
        <w:rPr>
          <w:rFonts w:ascii="NewsGotT" w:hAnsi="NewsGotT" w:cs="NewsGotT-Reg"/>
          <w:color w:val="000000"/>
          <w:sz w:val="20"/>
          <w:szCs w:val="20"/>
        </w:rPr>
        <w:t xml:space="preserve">18.3. Os documentos de habilitação devem ser apresentados em formato digital </w:t>
      </w:r>
      <w:r w:rsidRPr="00EE0AE9">
        <w:rPr>
          <w:rFonts w:ascii="NewsGotT" w:hAnsi="NewsGotT" w:cs="NewsGotT"/>
          <w:sz w:val="20"/>
        </w:rPr>
        <w:t xml:space="preserve">através do endereço eletrónico indicado no ponto 1, </w:t>
      </w:r>
      <w:r w:rsidRPr="00EE0AE9">
        <w:rPr>
          <w:rFonts w:ascii="NewsGotT" w:hAnsi="NewsGotT" w:cs="NewsGotT-Reg"/>
          <w:color w:val="000000"/>
          <w:sz w:val="20"/>
          <w:szCs w:val="20"/>
          <w:u w:val="single"/>
        </w:rPr>
        <w:t>em conformidade com o disposto na Portaria n.º 372/2017, de 14 de dezembro.</w:t>
      </w:r>
    </w:p>
    <w:p w14:paraId="0D1ED25B"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lastRenderedPageBreak/>
        <w:t xml:space="preserve">18.4. Todos os documentos de habilitação devem ser redigidos em língua portuguesa, ou, quando, pela sua própria natureza ou origem, os referidos documentos estiverem redigidos em língua estrangeira, deve o adjudicatário fazê-los acompanhar de tradução devidamente legalizada. </w:t>
      </w:r>
      <w:r w:rsidRPr="00EE0AE9">
        <w:rPr>
          <w:rFonts w:ascii="NewsGotT" w:hAnsi="NewsGotT" w:cs="NewsGotT-Reg"/>
          <w:i/>
          <w:color w:val="000000"/>
          <w:sz w:val="20"/>
          <w:szCs w:val="20"/>
          <w:highlight w:val="lightGray"/>
        </w:rPr>
        <w:t>[salvo quando o convite disponha diferentemente e estabeleça a suficiência da redação dos documentos em língua estrangeira, sem necessidade de tradução]</w:t>
      </w:r>
    </w:p>
    <w:p w14:paraId="727896F1"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18.5. O adjudicatário pode, em substituição da apresentação da reprodução dos documentos de habilitação, indicar o endereço do sítio da Internet onde aqueles podem ser consultados, bem como a informação necessária a essa consulta, desde que o referido sítio e documentos dele constantes, estejam redigidos em língua portuguesa.</w:t>
      </w:r>
    </w:p>
    <w:p w14:paraId="174389FF"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18.6. Não é necessária a apresentação dos documentos previstos na alínea b) do 18.1., caso o adjudicatário se encontre devidamente registado no Portal Nacional de Fornecedores do Estado.</w:t>
      </w:r>
    </w:p>
    <w:p w14:paraId="1511CB97"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 xml:space="preserve">18.7. </w:t>
      </w:r>
      <w:r w:rsidRPr="00EE0AE9">
        <w:rPr>
          <w:rFonts w:ascii="NewsGotT" w:hAnsi="NewsGotT" w:cs="NewsGotT-Reg"/>
          <w:color w:val="000000"/>
          <w:sz w:val="20"/>
          <w:szCs w:val="20"/>
          <w:u w:val="single"/>
        </w:rPr>
        <w:t>O prazo fixado para a apresentação dos documentos de habilitação poderá ser prorrogado pelo período máximo de 5 dias, se essa prorrogação for solicitada pelo adjudicatário em tempo útil e devidamente fundamentada</w:t>
      </w:r>
      <w:r w:rsidRPr="00EE0AE9">
        <w:rPr>
          <w:rFonts w:ascii="NewsGotT" w:hAnsi="NewsGotT" w:cs="NewsGotT-Reg"/>
          <w:color w:val="000000"/>
          <w:sz w:val="20"/>
          <w:szCs w:val="20"/>
        </w:rPr>
        <w:t>, nos termos do n.º 2 do artigo 85.º do CCP.</w:t>
      </w:r>
    </w:p>
    <w:p w14:paraId="66BC0C10" w14:textId="77777777" w:rsidR="0027644D" w:rsidRPr="00EE0AE9" w:rsidRDefault="0027644D" w:rsidP="0027644D">
      <w:pPr>
        <w:autoSpaceDE w:val="0"/>
        <w:autoSpaceDN w:val="0"/>
        <w:adjustRightInd w:val="0"/>
        <w:spacing w:after="0" w:line="276" w:lineRule="auto"/>
        <w:ind w:right="141"/>
        <w:rPr>
          <w:rFonts w:ascii="NewsGotT" w:hAnsi="NewsGotT" w:cs="TT2BCt00"/>
          <w:sz w:val="20"/>
        </w:rPr>
      </w:pPr>
      <w:r w:rsidRPr="00EE0AE9">
        <w:rPr>
          <w:rFonts w:ascii="NewsGotT" w:hAnsi="NewsGotT" w:cs="NewsGotT-Reg"/>
          <w:color w:val="000000"/>
          <w:sz w:val="20"/>
          <w:szCs w:val="20"/>
        </w:rPr>
        <w:t xml:space="preserve">18.8. </w:t>
      </w:r>
      <w:r w:rsidRPr="00EE0AE9">
        <w:rPr>
          <w:rFonts w:ascii="NewsGotT" w:hAnsi="NewsGotT" w:cs="TT2BCt00"/>
          <w:sz w:val="20"/>
        </w:rPr>
        <w:t>Sempre que se verifique um facto que determine a caducidade da adjudicação, nos termos previstos no artigo 86.º do CCP, o adjudicatário é notificado relativamente ao facto que ocorreu, sendo fixado um prazo de 5 dias para que este se pronuncie, por escrito, ao abrigo do direito de audiência prévia.</w:t>
      </w:r>
    </w:p>
    <w:p w14:paraId="5727A218" w14:textId="77777777" w:rsidR="0027644D" w:rsidRPr="00EE0AE9" w:rsidRDefault="0027644D" w:rsidP="0027644D">
      <w:pPr>
        <w:tabs>
          <w:tab w:val="center" w:pos="4252"/>
          <w:tab w:val="right" w:pos="8504"/>
        </w:tabs>
        <w:spacing w:after="0" w:line="276" w:lineRule="auto"/>
        <w:ind w:right="213"/>
        <w:rPr>
          <w:rFonts w:ascii="NewsGotT" w:hAnsi="NewsGotT" w:cs="TT2BCt00"/>
          <w:sz w:val="20"/>
        </w:rPr>
      </w:pPr>
      <w:r w:rsidRPr="00EE0AE9">
        <w:rPr>
          <w:rFonts w:ascii="NewsGotT" w:hAnsi="NewsGotT" w:cs="TT2BCt00"/>
          <w:sz w:val="20"/>
        </w:rPr>
        <w:t>18.9. Quando o facto a que se refere o número anterior se verifique por causa não imputável ao adjudicatário, o órgão competente para a decisão de contratar, em função das razões invocadas, notificará o adjudicatário para a apresentação dos documentos em falta, fixando-lhe um prazo adicional de 5 dias para o efeito, sob pena de caducidade da adjudicação.</w:t>
      </w:r>
    </w:p>
    <w:p w14:paraId="26825C38"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18.10. O órgão competente para a decisão de contratar pode sempre solicitar ao adjudicatário, ainda que tal não conste do presente convite, a apresentação de quaisquer documentos comprovativos da titularidade das habilitações legalmente exigidas para a execução das prestações objeto do contrato a celebrar, fixando-lhe prazo para o efeito.</w:t>
      </w:r>
    </w:p>
    <w:p w14:paraId="7218A097"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18.11. O órgão competente para a decisão de contratar pode ainda exigir ao adjudicatário, em prazo que fixar para o efeito, a apresentação dos originais de quaisquer documentos cuja reprodução tenha sido apresentada nos termos do 18.2, em caso de dúvida fundada sobre o conteúdo ou a autenticidade destes, sendo aplicável, com as necessárias adaptações, o disposto no artigo 86.º do CCP.</w:t>
      </w:r>
    </w:p>
    <w:p w14:paraId="35D5AF4D"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p>
    <w:p w14:paraId="61B2ECEB" w14:textId="77777777" w:rsidR="0027644D" w:rsidRPr="00EE0AE9" w:rsidRDefault="0027644D" w:rsidP="0027644D">
      <w:pPr>
        <w:autoSpaceDE w:val="0"/>
        <w:autoSpaceDN w:val="0"/>
        <w:adjustRightInd w:val="0"/>
        <w:spacing w:after="0" w:line="276" w:lineRule="auto"/>
        <w:ind w:right="141"/>
        <w:rPr>
          <w:rFonts w:ascii="NewsGotT" w:hAnsi="NewsGotT" w:cs="NewsGotT-Reg"/>
          <w:b/>
          <w:color w:val="000000"/>
          <w:sz w:val="20"/>
          <w:szCs w:val="20"/>
        </w:rPr>
      </w:pPr>
      <w:r w:rsidRPr="00EE0AE9">
        <w:rPr>
          <w:rFonts w:ascii="NewsGotT" w:hAnsi="NewsGotT" w:cs="NewsGotT-Reg"/>
          <w:b/>
          <w:color w:val="000000"/>
          <w:sz w:val="20"/>
          <w:szCs w:val="20"/>
        </w:rPr>
        <w:t>19. Outorga do contrato</w:t>
      </w:r>
    </w:p>
    <w:p w14:paraId="2837EC4F"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19.1. O contrato deverá ser reduzido a escrito através da elaboração de um clausulado em suporte papel ou em suporte informático com a aposição de assinaturas eletrónica, salvo nos casos previstos no artigo 95.º do CCP.</w:t>
      </w:r>
    </w:p>
    <w:p w14:paraId="04714C9F"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19.2.</w:t>
      </w:r>
      <w:r w:rsidRPr="00EE0AE9">
        <w:rPr>
          <w:rFonts w:ascii="NewsGotT" w:hAnsi="NewsGotT"/>
        </w:rPr>
        <w:t xml:space="preserve"> </w:t>
      </w:r>
      <w:r w:rsidRPr="00EE0AE9">
        <w:rPr>
          <w:rFonts w:ascii="NewsGotT" w:hAnsi="NewsGotT" w:cs="NewsGotT-Reg"/>
          <w:color w:val="000000"/>
          <w:sz w:val="20"/>
          <w:szCs w:val="20"/>
        </w:rPr>
        <w:t>As despesas e os encargos que eventualmente decorram da celebração do contrato são da responsabilidade do adjudicatário.</w:t>
      </w:r>
    </w:p>
    <w:p w14:paraId="099532E7"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p>
    <w:p w14:paraId="3BCE71CE" w14:textId="77777777" w:rsidR="0027644D" w:rsidRPr="00EE0AE9" w:rsidRDefault="0027644D" w:rsidP="0027644D">
      <w:pPr>
        <w:autoSpaceDE w:val="0"/>
        <w:autoSpaceDN w:val="0"/>
        <w:adjustRightInd w:val="0"/>
        <w:spacing w:after="0" w:line="276" w:lineRule="auto"/>
        <w:ind w:right="141"/>
        <w:rPr>
          <w:rFonts w:ascii="NewsGotT" w:hAnsi="NewsGotT" w:cs="NewsGotT-Reg"/>
          <w:b/>
          <w:color w:val="000000"/>
          <w:sz w:val="20"/>
          <w:szCs w:val="20"/>
        </w:rPr>
      </w:pPr>
      <w:r w:rsidRPr="00EE0AE9">
        <w:rPr>
          <w:rFonts w:ascii="NewsGotT" w:hAnsi="NewsGotT" w:cs="NewsGotT-Reg"/>
          <w:b/>
          <w:color w:val="000000"/>
          <w:sz w:val="20"/>
          <w:szCs w:val="20"/>
        </w:rPr>
        <w:t>20. Legislação aplicável</w:t>
      </w:r>
    </w:p>
    <w:p w14:paraId="79F0B3EA" w14:textId="77777777" w:rsidR="0027644D" w:rsidRPr="00EE0AE9" w:rsidRDefault="0027644D" w:rsidP="0027644D">
      <w:pPr>
        <w:autoSpaceDE w:val="0"/>
        <w:autoSpaceDN w:val="0"/>
        <w:adjustRightInd w:val="0"/>
        <w:spacing w:after="0" w:line="276" w:lineRule="auto"/>
        <w:ind w:right="141"/>
        <w:rPr>
          <w:rFonts w:ascii="NewsGotT" w:hAnsi="NewsGotT" w:cs="NewsGotT-Reg"/>
          <w:color w:val="000000"/>
          <w:sz w:val="20"/>
          <w:szCs w:val="20"/>
        </w:rPr>
      </w:pPr>
      <w:r w:rsidRPr="00EE0AE9">
        <w:rPr>
          <w:rFonts w:ascii="NewsGotT" w:hAnsi="NewsGotT" w:cs="NewsGotT-Reg"/>
          <w:color w:val="000000"/>
          <w:sz w:val="20"/>
          <w:szCs w:val="20"/>
        </w:rPr>
        <w:t xml:space="preserve">A tudo o que não for especialmente regulado no presente convite aplica-se o disposto no </w:t>
      </w:r>
      <w:r w:rsidRPr="00EE0AE9">
        <w:rPr>
          <w:rFonts w:ascii="NewsGotT" w:hAnsi="NewsGotT" w:cs="NewsGotT-Bol"/>
          <w:sz w:val="20"/>
          <w:szCs w:val="20"/>
        </w:rPr>
        <w:t>Código dos Contratos Públicos</w:t>
      </w:r>
      <w:r w:rsidRPr="00EE0AE9">
        <w:rPr>
          <w:rFonts w:ascii="NewsGotT" w:hAnsi="NewsGotT" w:cs="NewsGotT-Reg"/>
          <w:color w:val="000000"/>
          <w:sz w:val="20"/>
          <w:szCs w:val="20"/>
        </w:rPr>
        <w:t>, aprovado pelo Decreto-Lei n.º 18/2008, de 29 de janeiro, com as alterações em vigor.</w:t>
      </w:r>
    </w:p>
    <w:p w14:paraId="22330E2C" w14:textId="77777777" w:rsidR="0027644D" w:rsidRPr="00EE0AE9" w:rsidRDefault="0027644D" w:rsidP="0027644D">
      <w:pPr>
        <w:spacing w:after="0" w:line="240" w:lineRule="auto"/>
        <w:ind w:left="4536" w:right="142"/>
        <w:rPr>
          <w:rFonts w:ascii="NewsGotT" w:hAnsi="NewsGotT"/>
          <w:b/>
          <w:bCs/>
          <w:sz w:val="16"/>
          <w:szCs w:val="16"/>
          <w:highlight w:val="lightGray"/>
        </w:rPr>
      </w:pPr>
    </w:p>
    <w:p w14:paraId="1BB372B2" w14:textId="77777777" w:rsidR="0027644D" w:rsidRPr="00EE0AE9" w:rsidRDefault="0027644D" w:rsidP="0027644D">
      <w:pPr>
        <w:spacing w:after="0" w:line="240" w:lineRule="auto"/>
        <w:ind w:left="4536" w:right="142"/>
        <w:rPr>
          <w:rFonts w:ascii="NewsGotT" w:hAnsi="NewsGotT"/>
          <w:bCs/>
          <w:sz w:val="16"/>
          <w:szCs w:val="16"/>
          <w:highlight w:val="lightGray"/>
        </w:rPr>
      </w:pPr>
      <w:r w:rsidRPr="00EE0AE9">
        <w:rPr>
          <w:rFonts w:ascii="NewsGotT" w:hAnsi="NewsGotT"/>
          <w:b/>
          <w:bCs/>
          <w:sz w:val="16"/>
          <w:szCs w:val="16"/>
          <w:highlight w:val="lightGray"/>
        </w:rPr>
        <w:t>Anexos:</w:t>
      </w:r>
      <w:r w:rsidRPr="00EE0AE9">
        <w:rPr>
          <w:rFonts w:ascii="NewsGotT" w:hAnsi="NewsGotT"/>
          <w:bCs/>
          <w:sz w:val="16"/>
          <w:szCs w:val="16"/>
          <w:highlight w:val="lightGray"/>
        </w:rPr>
        <w:t xml:space="preserve"> - Modelo de declaração referido na alínea a) do ponto 9.1 do presente convite;</w:t>
      </w:r>
    </w:p>
    <w:p w14:paraId="0470562B" w14:textId="5D938EFF" w:rsidR="0027644D" w:rsidRDefault="0027644D" w:rsidP="0027644D">
      <w:pPr>
        <w:spacing w:after="0" w:line="240" w:lineRule="auto"/>
        <w:ind w:left="4536" w:right="142"/>
        <w:rPr>
          <w:rFonts w:ascii="NewsGotT" w:hAnsi="NewsGotT"/>
          <w:bCs/>
          <w:sz w:val="16"/>
          <w:szCs w:val="16"/>
          <w:highlight w:val="lightGray"/>
        </w:rPr>
      </w:pPr>
      <w:r w:rsidRPr="00EE0AE9">
        <w:rPr>
          <w:rFonts w:ascii="NewsGotT" w:hAnsi="NewsGotT"/>
          <w:bCs/>
          <w:sz w:val="16"/>
          <w:szCs w:val="16"/>
          <w:highlight w:val="lightGray"/>
        </w:rPr>
        <w:t>- Modelo de declaração referido na alínea a) do ponto 18.1 do presente convite;</w:t>
      </w:r>
    </w:p>
    <w:p w14:paraId="53A22BF4" w14:textId="64A65EE6" w:rsidR="0027644D" w:rsidRPr="0027644D" w:rsidRDefault="0027644D" w:rsidP="0027644D">
      <w:pPr>
        <w:spacing w:after="0" w:line="240" w:lineRule="auto"/>
        <w:ind w:left="4536" w:right="142"/>
        <w:rPr>
          <w:rFonts w:ascii="NewsGotT" w:hAnsi="NewsGotT"/>
          <w:bCs/>
          <w:sz w:val="16"/>
          <w:szCs w:val="16"/>
          <w:highlight w:val="lightGray"/>
        </w:rPr>
      </w:pPr>
      <w:r w:rsidRPr="00EE0AE9">
        <w:rPr>
          <w:rFonts w:ascii="NewsGotT" w:hAnsi="NewsGotT"/>
          <w:bCs/>
          <w:sz w:val="16"/>
          <w:szCs w:val="16"/>
          <w:highlight w:val="lightGray"/>
        </w:rPr>
        <w:t>- Caderno de Encargos.</w:t>
      </w:r>
    </w:p>
    <w:sectPr w:rsidR="0027644D" w:rsidRPr="0027644D">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Carla Silva" w:date="2024-02-23T15:40:00Z" w:initials="CS">
    <w:p w14:paraId="17701886" w14:textId="15657E52" w:rsidR="00B71120" w:rsidRPr="00B71120" w:rsidRDefault="00B71120">
      <w:pPr>
        <w:pStyle w:val="Textodecomentrio"/>
        <w:rPr>
          <w:b/>
        </w:rPr>
      </w:pPr>
      <w:r>
        <w:rPr>
          <w:rStyle w:val="Refdecomentrio"/>
        </w:rPr>
        <w:annotationRef/>
      </w:r>
      <w:r w:rsidRPr="00B71120">
        <w:rPr>
          <w:b/>
        </w:rPr>
        <w:t xml:space="preserve">AUTORIZAÇÃO DE CONSELHO DE </w:t>
      </w:r>
      <w:r>
        <w:rPr>
          <w:b/>
        </w:rPr>
        <w:t>GESTÃ</w:t>
      </w:r>
      <w:r w:rsidRPr="00B71120">
        <w:rPr>
          <w:b/>
        </w:rPr>
        <w:t>O</w:t>
      </w:r>
    </w:p>
    <w:p w14:paraId="6EB8BBDB" w14:textId="2E11E581" w:rsidR="00B71120" w:rsidRDefault="00B71120">
      <w:pPr>
        <w:pStyle w:val="Textodecomentrio"/>
      </w:pPr>
      <w:r>
        <w:t>“deliberação do Conselho de Gestão da Universidade do Minho”</w:t>
      </w:r>
    </w:p>
    <w:p w14:paraId="52DB1002" w14:textId="77777777" w:rsidR="00B71120" w:rsidRDefault="00B71120">
      <w:pPr>
        <w:pStyle w:val="Textodecomentrio"/>
        <w:rPr>
          <w:b/>
        </w:rPr>
      </w:pPr>
      <w:r w:rsidRPr="00B71120">
        <w:rPr>
          <w:b/>
        </w:rPr>
        <w:t>AUTORIZAÇÃO DE Presidente da EE</w:t>
      </w:r>
    </w:p>
    <w:p w14:paraId="633A693E" w14:textId="77777777" w:rsidR="00B71120" w:rsidRDefault="00B71120">
      <w:pPr>
        <w:pStyle w:val="Textodecomentrio"/>
        <w:rPr>
          <w:rFonts w:ascii="NewsGotT" w:eastAsia="Calibri" w:hAnsi="NewsGotT" w:cs="Times New Roman"/>
        </w:rPr>
      </w:pPr>
      <w:r>
        <w:t xml:space="preserve">“despacho do Presidente da Escola de Engenharia </w:t>
      </w:r>
      <w:r w:rsidRPr="003A3312">
        <w:rPr>
          <w:rFonts w:ascii="NewsGotT" w:eastAsia="Calibri" w:hAnsi="NewsGotT" w:cs="Times New Roman"/>
        </w:rPr>
        <w:t xml:space="preserve">no uso das competências que lhe </w:t>
      </w:r>
      <w:r w:rsidRPr="007D5759">
        <w:rPr>
          <w:rFonts w:ascii="NewsGotT" w:eastAsia="Calibri" w:hAnsi="NewsGotT" w:cs="Times New Roman"/>
        </w:rPr>
        <w:t>foram delegadas pela Deliberação n.º 164/2024, do Presidente do Conselho de Gestão da Universidade do Minho, publicada no Diário da República n.º 23, 2.ª série, de 1 de fevereiro</w:t>
      </w:r>
      <w:r>
        <w:rPr>
          <w:rFonts w:ascii="NewsGotT" w:eastAsia="Calibri" w:hAnsi="NewsGotT" w:cs="Times New Roman"/>
        </w:rPr>
        <w:t>”</w:t>
      </w:r>
    </w:p>
    <w:p w14:paraId="090A395C" w14:textId="1E0FE7C0" w:rsidR="00B71120" w:rsidRPr="00B71120" w:rsidRDefault="00B71120">
      <w:pPr>
        <w:pStyle w:val="Textodecoment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0A39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NewsGotT-Reg">
    <w:panose1 w:val="00000000000000000000"/>
    <w:charset w:val="00"/>
    <w:family w:val="swiss"/>
    <w:notTrueType/>
    <w:pitch w:val="default"/>
    <w:sig w:usb0="00000003" w:usb1="00000000" w:usb2="00000000" w:usb3="00000000" w:csb0="00000001" w:csb1="00000000"/>
  </w:font>
  <w:font w:name="NewsGotT-Bol">
    <w:panose1 w:val="00000000000000000000"/>
    <w:charset w:val="00"/>
    <w:family w:val="swiss"/>
    <w:notTrueType/>
    <w:pitch w:val="default"/>
    <w:sig w:usb0="00000003" w:usb1="00000000" w:usb2="00000000" w:usb3="00000000" w:csb0="00000001" w:csb1="00000000"/>
  </w:font>
  <w:font w:name="TT2BCt00">
    <w:altName w:val="T T 2 BCompac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846DC"/>
    <w:multiLevelType w:val="hybridMultilevel"/>
    <w:tmpl w:val="F4A06504"/>
    <w:lvl w:ilvl="0" w:tplc="ECE00E32">
      <w:start w:val="1"/>
      <w:numFmt w:val="lowerRoman"/>
      <w:lvlText w:val="%1."/>
      <w:lvlJc w:val="left"/>
      <w:pPr>
        <w:ind w:left="1118" w:hanging="720"/>
      </w:pPr>
      <w:rPr>
        <w:rFonts w:hint="default"/>
      </w:rPr>
    </w:lvl>
    <w:lvl w:ilvl="1" w:tplc="08160019" w:tentative="1">
      <w:start w:val="1"/>
      <w:numFmt w:val="lowerLetter"/>
      <w:lvlText w:val="%2."/>
      <w:lvlJc w:val="left"/>
      <w:pPr>
        <w:ind w:left="1478" w:hanging="360"/>
      </w:pPr>
    </w:lvl>
    <w:lvl w:ilvl="2" w:tplc="0816001B" w:tentative="1">
      <w:start w:val="1"/>
      <w:numFmt w:val="lowerRoman"/>
      <w:lvlText w:val="%3."/>
      <w:lvlJc w:val="right"/>
      <w:pPr>
        <w:ind w:left="2198" w:hanging="180"/>
      </w:pPr>
    </w:lvl>
    <w:lvl w:ilvl="3" w:tplc="0816000F" w:tentative="1">
      <w:start w:val="1"/>
      <w:numFmt w:val="decimal"/>
      <w:lvlText w:val="%4."/>
      <w:lvlJc w:val="left"/>
      <w:pPr>
        <w:ind w:left="2918" w:hanging="360"/>
      </w:pPr>
    </w:lvl>
    <w:lvl w:ilvl="4" w:tplc="08160019" w:tentative="1">
      <w:start w:val="1"/>
      <w:numFmt w:val="lowerLetter"/>
      <w:lvlText w:val="%5."/>
      <w:lvlJc w:val="left"/>
      <w:pPr>
        <w:ind w:left="3638" w:hanging="360"/>
      </w:pPr>
    </w:lvl>
    <w:lvl w:ilvl="5" w:tplc="0816001B" w:tentative="1">
      <w:start w:val="1"/>
      <w:numFmt w:val="lowerRoman"/>
      <w:lvlText w:val="%6."/>
      <w:lvlJc w:val="right"/>
      <w:pPr>
        <w:ind w:left="4358" w:hanging="180"/>
      </w:pPr>
    </w:lvl>
    <w:lvl w:ilvl="6" w:tplc="0816000F" w:tentative="1">
      <w:start w:val="1"/>
      <w:numFmt w:val="decimal"/>
      <w:lvlText w:val="%7."/>
      <w:lvlJc w:val="left"/>
      <w:pPr>
        <w:ind w:left="5078" w:hanging="360"/>
      </w:pPr>
    </w:lvl>
    <w:lvl w:ilvl="7" w:tplc="08160019" w:tentative="1">
      <w:start w:val="1"/>
      <w:numFmt w:val="lowerLetter"/>
      <w:lvlText w:val="%8."/>
      <w:lvlJc w:val="left"/>
      <w:pPr>
        <w:ind w:left="5798" w:hanging="360"/>
      </w:pPr>
    </w:lvl>
    <w:lvl w:ilvl="8" w:tplc="0816001B" w:tentative="1">
      <w:start w:val="1"/>
      <w:numFmt w:val="lowerRoman"/>
      <w:lvlText w:val="%9."/>
      <w:lvlJc w:val="right"/>
      <w:pPr>
        <w:ind w:left="6518" w:hanging="180"/>
      </w:pPr>
    </w:lvl>
  </w:abstractNum>
  <w:abstractNum w:abstractNumId="1" w15:restartNumberingAfterBreak="0">
    <w:nsid w:val="36425249"/>
    <w:multiLevelType w:val="hybridMultilevel"/>
    <w:tmpl w:val="2298A09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44E673DE"/>
    <w:multiLevelType w:val="hybridMultilevel"/>
    <w:tmpl w:val="B0E6F336"/>
    <w:lvl w:ilvl="0" w:tplc="08160017">
      <w:start w:val="1"/>
      <w:numFmt w:val="lowerLetter"/>
      <w:lvlText w:val="%1)"/>
      <w:lvlJc w:val="left"/>
      <w:pPr>
        <w:ind w:left="644" w:hanging="360"/>
      </w:p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3" w15:restartNumberingAfterBreak="0">
    <w:nsid w:val="5FBB4320"/>
    <w:multiLevelType w:val="multilevel"/>
    <w:tmpl w:val="30DA63C0"/>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9082978"/>
    <w:multiLevelType w:val="hybridMultilevel"/>
    <w:tmpl w:val="45D67BD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la Silva">
    <w15:presenceInfo w15:providerId="AD" w15:userId="S-1-5-21-2019113862-535575533-3286896671-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44D"/>
    <w:rsid w:val="0027644D"/>
    <w:rsid w:val="00B71120"/>
    <w:rsid w:val="00D5069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291B"/>
  <w15:chartTrackingRefBased/>
  <w15:docId w15:val="{64474AD4-E538-4242-BA60-07D99ECE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44D"/>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B71120"/>
    <w:rPr>
      <w:sz w:val="16"/>
      <w:szCs w:val="16"/>
    </w:rPr>
  </w:style>
  <w:style w:type="paragraph" w:styleId="Textodecomentrio">
    <w:name w:val="annotation text"/>
    <w:basedOn w:val="Normal"/>
    <w:link w:val="TextodecomentrioCarter"/>
    <w:uiPriority w:val="99"/>
    <w:semiHidden/>
    <w:unhideWhenUsed/>
    <w:rsid w:val="00B71120"/>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B71120"/>
    <w:rPr>
      <w:sz w:val="20"/>
      <w:szCs w:val="20"/>
    </w:rPr>
  </w:style>
  <w:style w:type="paragraph" w:styleId="Assuntodecomentrio">
    <w:name w:val="annotation subject"/>
    <w:basedOn w:val="Textodecomentrio"/>
    <w:next w:val="Textodecomentrio"/>
    <w:link w:val="AssuntodecomentrioCarter"/>
    <w:uiPriority w:val="99"/>
    <w:semiHidden/>
    <w:unhideWhenUsed/>
    <w:rsid w:val="00B71120"/>
    <w:rPr>
      <w:b/>
      <w:bCs/>
    </w:rPr>
  </w:style>
  <w:style w:type="character" w:customStyle="1" w:styleId="AssuntodecomentrioCarter">
    <w:name w:val="Assunto de comentário Caráter"/>
    <w:basedOn w:val="TextodecomentrioCarter"/>
    <w:link w:val="Assuntodecomentrio"/>
    <w:uiPriority w:val="99"/>
    <w:semiHidden/>
    <w:rsid w:val="00B71120"/>
    <w:rPr>
      <w:b/>
      <w:bCs/>
      <w:sz w:val="20"/>
      <w:szCs w:val="20"/>
    </w:rPr>
  </w:style>
  <w:style w:type="paragraph" w:styleId="Textodebalo">
    <w:name w:val="Balloon Text"/>
    <w:basedOn w:val="Normal"/>
    <w:link w:val="TextodebaloCarter"/>
    <w:uiPriority w:val="99"/>
    <w:semiHidden/>
    <w:unhideWhenUsed/>
    <w:rsid w:val="00B71120"/>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B711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ec-adm@reitoria.uminho.pt"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cbe.justica.gov.pt"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0E19-8AD1-49B3-ABDE-003580B2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2609</Words>
  <Characters>14090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Alberta Fernandes Sampaio</dc:creator>
  <cp:keywords/>
  <dc:description/>
  <cp:lastModifiedBy>Carla Silva</cp:lastModifiedBy>
  <cp:revision>3</cp:revision>
  <dcterms:created xsi:type="dcterms:W3CDTF">2024-02-23T15:38:00Z</dcterms:created>
  <dcterms:modified xsi:type="dcterms:W3CDTF">2024-02-23T15:43:00Z</dcterms:modified>
</cp:coreProperties>
</file>